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6"/>
          <w:rFonts w:ascii="黑体" w:hAnsi="黑体" w:eastAsia="黑体"/>
          <w:i w:val="0"/>
          <w:sz w:val="32"/>
          <w:szCs w:val="32"/>
          <w:shd w:val="clear" w:color="auto" w:fill="FFFFFF"/>
        </w:rPr>
      </w:pPr>
      <w:r>
        <w:rPr>
          <w:rStyle w:val="6"/>
          <w:rFonts w:hint="eastAsia" w:ascii="黑体" w:hAnsi="黑体" w:eastAsia="黑体"/>
          <w:i w:val="0"/>
          <w:sz w:val="32"/>
          <w:szCs w:val="32"/>
          <w:shd w:val="clear" w:color="auto" w:fill="FFFFFF"/>
        </w:rPr>
        <w:t>附件1</w:t>
      </w:r>
    </w:p>
    <w:tbl>
      <w:tblPr>
        <w:tblStyle w:val="4"/>
        <w:tblW w:w="148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1163"/>
        <w:gridCol w:w="1134"/>
        <w:gridCol w:w="4111"/>
        <w:gridCol w:w="1559"/>
        <w:gridCol w:w="1025"/>
        <w:gridCol w:w="3330"/>
        <w:gridCol w:w="773"/>
        <w:gridCol w:w="10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14805" w:type="dxa"/>
            <w:gridSpan w:val="9"/>
            <w:tcBorders>
              <w:top w:val="nil"/>
              <w:left w:val="nil"/>
              <w:right w:val="nil"/>
            </w:tcBorders>
            <w:vAlign w:val="center"/>
          </w:tcPr>
          <w:p>
            <w:pPr>
              <w:widowControl/>
              <w:jc w:val="center"/>
              <w:textAlignment w:val="center"/>
              <w:rPr>
                <w:rFonts w:ascii="方正小标宋简体" w:hAnsi="方正小标宋简体" w:eastAsia="方正小标宋简体" w:cs="方正小标宋简体"/>
                <w:color w:val="000000"/>
                <w:sz w:val="36"/>
                <w:szCs w:val="36"/>
              </w:rPr>
            </w:pPr>
            <w:bookmarkStart w:id="0" w:name="_GoBack"/>
            <w:r>
              <w:rPr>
                <w:rFonts w:hint="eastAsia" w:ascii="方正小标宋简体" w:hAnsi="方正小标宋简体" w:eastAsia="方正小标宋简体" w:cs="方正小标宋简体"/>
                <w:color w:val="000000"/>
                <w:kern w:val="0"/>
                <w:sz w:val="44"/>
                <w:szCs w:val="44"/>
                <w:lang w:bidi="ar"/>
              </w:rPr>
              <w:t>山东省普通中小学主动公开基本目录</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656" w:type="dxa"/>
            <w:vMerge w:val="restart"/>
            <w:vAlign w:val="center"/>
          </w:tcPr>
          <w:p>
            <w:pPr>
              <w:widowControl/>
              <w:jc w:val="center"/>
              <w:textAlignment w:val="center"/>
              <w:rPr>
                <w:rFonts w:ascii="黑体" w:hAnsi="黑体" w:eastAsia="黑体"/>
              </w:rPr>
            </w:pPr>
            <w:r>
              <w:rPr>
                <w:rFonts w:ascii="黑体" w:hAnsi="黑体" w:eastAsia="黑体"/>
              </w:rPr>
              <w:t>序号</w:t>
            </w:r>
          </w:p>
        </w:tc>
        <w:tc>
          <w:tcPr>
            <w:tcW w:w="2297" w:type="dxa"/>
            <w:gridSpan w:val="2"/>
            <w:vAlign w:val="center"/>
          </w:tcPr>
          <w:p>
            <w:pPr>
              <w:widowControl/>
              <w:jc w:val="center"/>
              <w:textAlignment w:val="center"/>
              <w:rPr>
                <w:rFonts w:ascii="黑体" w:hAnsi="黑体" w:eastAsia="黑体"/>
              </w:rPr>
            </w:pPr>
            <w:r>
              <w:rPr>
                <w:rFonts w:ascii="黑体" w:hAnsi="黑体" w:eastAsia="黑体"/>
              </w:rPr>
              <w:t>公开事项</w:t>
            </w:r>
          </w:p>
        </w:tc>
        <w:tc>
          <w:tcPr>
            <w:tcW w:w="4111" w:type="dxa"/>
            <w:vMerge w:val="restart"/>
            <w:vAlign w:val="center"/>
          </w:tcPr>
          <w:p>
            <w:pPr>
              <w:widowControl/>
              <w:jc w:val="center"/>
              <w:textAlignment w:val="center"/>
              <w:rPr>
                <w:rFonts w:ascii="黑体" w:hAnsi="黑体" w:eastAsia="黑体"/>
              </w:rPr>
            </w:pPr>
            <w:r>
              <w:rPr>
                <w:rFonts w:ascii="黑体" w:hAnsi="黑体" w:eastAsia="黑体"/>
              </w:rPr>
              <w:t>公开内容</w:t>
            </w:r>
            <w:r>
              <w:rPr>
                <w:rFonts w:ascii="黑体" w:hAnsi="黑体" w:eastAsia="黑体"/>
              </w:rPr>
              <w:br w:type="textWrapping"/>
            </w:r>
            <w:r>
              <w:rPr>
                <w:rFonts w:ascii="黑体" w:hAnsi="黑体" w:eastAsia="黑体"/>
              </w:rPr>
              <w:t>（要素）</w:t>
            </w:r>
          </w:p>
        </w:tc>
        <w:tc>
          <w:tcPr>
            <w:tcW w:w="1559" w:type="dxa"/>
            <w:vMerge w:val="restart"/>
            <w:vAlign w:val="center"/>
          </w:tcPr>
          <w:p>
            <w:pPr>
              <w:widowControl/>
              <w:jc w:val="center"/>
              <w:textAlignment w:val="center"/>
              <w:rPr>
                <w:rFonts w:ascii="黑体" w:hAnsi="黑体" w:eastAsia="黑体"/>
              </w:rPr>
            </w:pPr>
            <w:r>
              <w:rPr>
                <w:rFonts w:ascii="黑体" w:hAnsi="黑体" w:eastAsia="黑体"/>
              </w:rPr>
              <w:t>公开</w:t>
            </w:r>
            <w:r>
              <w:rPr>
                <w:rFonts w:ascii="黑体" w:hAnsi="黑体" w:eastAsia="黑体"/>
              </w:rPr>
              <w:br w:type="textWrapping"/>
            </w:r>
            <w:r>
              <w:rPr>
                <w:rFonts w:ascii="黑体" w:hAnsi="黑体" w:eastAsia="黑体"/>
              </w:rPr>
              <w:t>时限</w:t>
            </w:r>
          </w:p>
        </w:tc>
        <w:tc>
          <w:tcPr>
            <w:tcW w:w="1025" w:type="dxa"/>
            <w:vMerge w:val="restart"/>
            <w:vAlign w:val="center"/>
          </w:tcPr>
          <w:p>
            <w:pPr>
              <w:widowControl/>
              <w:jc w:val="center"/>
              <w:textAlignment w:val="center"/>
              <w:rPr>
                <w:rFonts w:ascii="黑体" w:hAnsi="黑体" w:eastAsia="黑体"/>
              </w:rPr>
            </w:pPr>
            <w:r>
              <w:rPr>
                <w:rFonts w:ascii="黑体" w:hAnsi="黑体" w:eastAsia="黑体"/>
              </w:rPr>
              <w:t>公开</w:t>
            </w:r>
            <w:r>
              <w:rPr>
                <w:rFonts w:ascii="黑体" w:hAnsi="黑体" w:eastAsia="黑体"/>
              </w:rPr>
              <w:br w:type="textWrapping"/>
            </w:r>
            <w:r>
              <w:rPr>
                <w:rFonts w:ascii="黑体" w:hAnsi="黑体" w:eastAsia="黑体"/>
              </w:rPr>
              <w:t>主体</w:t>
            </w:r>
          </w:p>
        </w:tc>
        <w:tc>
          <w:tcPr>
            <w:tcW w:w="3330" w:type="dxa"/>
            <w:vMerge w:val="restart"/>
            <w:vAlign w:val="center"/>
          </w:tcPr>
          <w:p>
            <w:pPr>
              <w:widowControl/>
              <w:jc w:val="center"/>
              <w:textAlignment w:val="center"/>
              <w:rPr>
                <w:rFonts w:ascii="黑体" w:hAnsi="黑体" w:eastAsia="黑体"/>
              </w:rPr>
            </w:pPr>
            <w:r>
              <w:rPr>
                <w:rFonts w:ascii="黑体" w:hAnsi="黑体" w:eastAsia="黑体"/>
              </w:rPr>
              <w:t>公开渠道和载体</w:t>
            </w:r>
          </w:p>
        </w:tc>
        <w:tc>
          <w:tcPr>
            <w:tcW w:w="1827" w:type="dxa"/>
            <w:gridSpan w:val="2"/>
            <w:vAlign w:val="center"/>
          </w:tcPr>
          <w:p>
            <w:pPr>
              <w:widowControl/>
              <w:jc w:val="center"/>
              <w:textAlignment w:val="center"/>
              <w:rPr>
                <w:rFonts w:ascii="黑体" w:hAnsi="黑体" w:eastAsia="黑体"/>
              </w:rPr>
            </w:pPr>
            <w:r>
              <w:rPr>
                <w:rFonts w:ascii="黑体" w:hAnsi="黑体" w:eastAsia="黑体"/>
              </w:rPr>
              <w:t>公开对象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656" w:type="dxa"/>
            <w:vMerge w:val="continue"/>
            <w:vAlign w:val="center"/>
          </w:tcPr>
          <w:p>
            <w:pPr>
              <w:jc w:val="center"/>
              <w:rPr>
                <w:rFonts w:ascii="黑体" w:hAnsi="黑体" w:eastAsia="黑体"/>
              </w:rPr>
            </w:pPr>
          </w:p>
        </w:tc>
        <w:tc>
          <w:tcPr>
            <w:tcW w:w="1163" w:type="dxa"/>
            <w:vAlign w:val="center"/>
          </w:tcPr>
          <w:p>
            <w:pPr>
              <w:widowControl/>
              <w:jc w:val="center"/>
              <w:textAlignment w:val="center"/>
              <w:rPr>
                <w:rFonts w:ascii="黑体" w:hAnsi="黑体" w:eastAsia="黑体"/>
              </w:rPr>
            </w:pPr>
            <w:r>
              <w:rPr>
                <w:rFonts w:ascii="黑体" w:hAnsi="黑体" w:eastAsia="黑体"/>
              </w:rPr>
              <w:t>一级事项</w:t>
            </w:r>
          </w:p>
        </w:tc>
        <w:tc>
          <w:tcPr>
            <w:tcW w:w="1134" w:type="dxa"/>
            <w:vAlign w:val="center"/>
          </w:tcPr>
          <w:p>
            <w:pPr>
              <w:widowControl/>
              <w:jc w:val="center"/>
              <w:textAlignment w:val="center"/>
              <w:rPr>
                <w:rFonts w:ascii="黑体" w:hAnsi="黑体" w:eastAsia="黑体"/>
              </w:rPr>
            </w:pPr>
            <w:r>
              <w:rPr>
                <w:rFonts w:ascii="黑体" w:hAnsi="黑体" w:eastAsia="黑体"/>
              </w:rPr>
              <w:t>二级事项</w:t>
            </w:r>
          </w:p>
        </w:tc>
        <w:tc>
          <w:tcPr>
            <w:tcW w:w="4111" w:type="dxa"/>
            <w:vMerge w:val="continue"/>
            <w:vAlign w:val="center"/>
          </w:tcPr>
          <w:p>
            <w:pPr>
              <w:jc w:val="center"/>
              <w:rPr>
                <w:rFonts w:ascii="黑体" w:hAnsi="黑体" w:eastAsia="黑体"/>
              </w:rPr>
            </w:pPr>
          </w:p>
        </w:tc>
        <w:tc>
          <w:tcPr>
            <w:tcW w:w="1559" w:type="dxa"/>
            <w:vMerge w:val="continue"/>
            <w:vAlign w:val="center"/>
          </w:tcPr>
          <w:p>
            <w:pPr>
              <w:jc w:val="center"/>
              <w:rPr>
                <w:rFonts w:ascii="黑体" w:hAnsi="黑体" w:eastAsia="黑体"/>
              </w:rPr>
            </w:pPr>
          </w:p>
        </w:tc>
        <w:tc>
          <w:tcPr>
            <w:tcW w:w="1025" w:type="dxa"/>
            <w:vMerge w:val="continue"/>
            <w:vAlign w:val="center"/>
          </w:tcPr>
          <w:p>
            <w:pPr>
              <w:jc w:val="center"/>
              <w:rPr>
                <w:rFonts w:ascii="黑体" w:hAnsi="黑体" w:eastAsia="黑体"/>
              </w:rPr>
            </w:pPr>
          </w:p>
        </w:tc>
        <w:tc>
          <w:tcPr>
            <w:tcW w:w="3330" w:type="dxa"/>
            <w:vMerge w:val="continue"/>
            <w:vAlign w:val="center"/>
          </w:tcPr>
          <w:p>
            <w:pPr>
              <w:jc w:val="center"/>
              <w:rPr>
                <w:rFonts w:ascii="黑体" w:hAnsi="黑体" w:eastAsia="黑体"/>
              </w:rPr>
            </w:pPr>
          </w:p>
        </w:tc>
        <w:tc>
          <w:tcPr>
            <w:tcW w:w="773" w:type="dxa"/>
            <w:vAlign w:val="center"/>
          </w:tcPr>
          <w:p>
            <w:pPr>
              <w:widowControl/>
              <w:jc w:val="center"/>
              <w:textAlignment w:val="center"/>
              <w:rPr>
                <w:rFonts w:ascii="黑体" w:hAnsi="黑体" w:eastAsia="黑体"/>
              </w:rPr>
            </w:pPr>
            <w:r>
              <w:rPr>
                <w:rFonts w:ascii="黑体" w:hAnsi="黑体" w:eastAsia="黑体"/>
              </w:rPr>
              <w:t>全社会</w:t>
            </w:r>
          </w:p>
        </w:tc>
        <w:tc>
          <w:tcPr>
            <w:tcW w:w="1054" w:type="dxa"/>
            <w:vAlign w:val="center"/>
          </w:tcPr>
          <w:p>
            <w:pPr>
              <w:widowControl/>
              <w:jc w:val="center"/>
              <w:textAlignment w:val="center"/>
              <w:rPr>
                <w:rFonts w:ascii="黑体" w:hAnsi="黑体" w:eastAsia="黑体"/>
              </w:rPr>
            </w:pPr>
            <w:r>
              <w:rPr>
                <w:rFonts w:ascii="黑体" w:hAnsi="黑体" w:eastAsia="黑体"/>
              </w:rPr>
              <w:t>特定群体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8"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1</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学校概况</w:t>
            </w:r>
          </w:p>
        </w:tc>
        <w:tc>
          <w:tcPr>
            <w:tcW w:w="1134" w:type="dxa"/>
            <w:vAlign w:val="center"/>
          </w:tcPr>
          <w:p>
            <w:pPr>
              <w:widowControl/>
              <w:jc w:val="center"/>
              <w:textAlignment w:val="center"/>
              <w:rPr>
                <w:rFonts w:ascii="仿宋_GB2312" w:eastAsia="仿宋_GB2312"/>
              </w:rPr>
            </w:pPr>
            <w:r>
              <w:rPr>
                <w:rFonts w:ascii="仿宋_GB2312" w:eastAsia="仿宋_GB2312"/>
              </w:rPr>
              <w:t>基本情况</w:t>
            </w:r>
          </w:p>
        </w:tc>
        <w:tc>
          <w:tcPr>
            <w:tcW w:w="4111" w:type="dxa"/>
            <w:vAlign w:val="center"/>
          </w:tcPr>
          <w:p>
            <w:pPr>
              <w:widowControl/>
              <w:jc w:val="left"/>
              <w:textAlignment w:val="center"/>
              <w:rPr>
                <w:rFonts w:ascii="仿宋_GB2312" w:eastAsia="仿宋_GB2312"/>
              </w:rPr>
            </w:pPr>
            <w:r>
              <w:rPr>
                <w:rFonts w:ascii="仿宋_GB2312" w:eastAsia="仿宋_GB2312"/>
              </w:rPr>
              <w:t>办学性质、主管部门、办学地点、联系方式、办学规模、办学条件、办学特色、师资水平、荣誉奖励、历史沿革。</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4"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领导班子</w:t>
            </w:r>
          </w:p>
        </w:tc>
        <w:tc>
          <w:tcPr>
            <w:tcW w:w="4111" w:type="dxa"/>
            <w:vAlign w:val="center"/>
          </w:tcPr>
          <w:p>
            <w:pPr>
              <w:widowControl/>
              <w:jc w:val="left"/>
              <w:textAlignment w:val="center"/>
              <w:rPr>
                <w:rFonts w:ascii="仿宋_GB2312" w:eastAsia="仿宋_GB2312"/>
              </w:rPr>
            </w:pPr>
            <w:r>
              <w:rPr>
                <w:rFonts w:ascii="仿宋_GB2312" w:eastAsia="仿宋_GB2312"/>
              </w:rPr>
              <w:t>学校领导班子成员姓名、职务、简历、分工。</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8"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机构设置</w:t>
            </w:r>
          </w:p>
        </w:tc>
        <w:tc>
          <w:tcPr>
            <w:tcW w:w="4111" w:type="dxa"/>
            <w:vAlign w:val="center"/>
          </w:tcPr>
          <w:p>
            <w:pPr>
              <w:widowControl/>
              <w:jc w:val="left"/>
              <w:textAlignment w:val="center"/>
              <w:rPr>
                <w:rFonts w:ascii="仿宋_GB2312" w:eastAsia="仿宋_GB2312"/>
              </w:rPr>
            </w:pPr>
            <w:r>
              <w:rPr>
                <w:rFonts w:ascii="仿宋_GB2312" w:eastAsia="仿宋_GB2312"/>
              </w:rPr>
              <w:t>学校内设管理机构的名称、职能、联系电话。</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规章制度</w:t>
            </w:r>
          </w:p>
        </w:tc>
        <w:tc>
          <w:tcPr>
            <w:tcW w:w="4111" w:type="dxa"/>
            <w:vAlign w:val="center"/>
          </w:tcPr>
          <w:p>
            <w:pPr>
              <w:widowControl/>
              <w:jc w:val="left"/>
              <w:textAlignment w:val="center"/>
              <w:rPr>
                <w:rFonts w:ascii="仿宋_GB2312" w:eastAsia="仿宋_GB2312"/>
              </w:rPr>
            </w:pPr>
            <w:r>
              <w:rPr>
                <w:rFonts w:ascii="仿宋_GB2312" w:eastAsia="仿宋_GB2312"/>
              </w:rPr>
              <w:t>学校现行有效的规章制度，包括但不限于学生管理、教师管理、财务管理、教学管理、考试管理等。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2</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规划统计</w:t>
            </w:r>
          </w:p>
        </w:tc>
        <w:tc>
          <w:tcPr>
            <w:tcW w:w="1134" w:type="dxa"/>
            <w:vAlign w:val="center"/>
          </w:tcPr>
          <w:p>
            <w:pPr>
              <w:widowControl/>
              <w:jc w:val="center"/>
              <w:textAlignment w:val="center"/>
              <w:rPr>
                <w:rFonts w:ascii="仿宋_GB2312" w:eastAsia="仿宋_GB2312"/>
              </w:rPr>
            </w:pPr>
            <w:r>
              <w:rPr>
                <w:rFonts w:ascii="仿宋_GB2312" w:eastAsia="仿宋_GB2312"/>
              </w:rPr>
              <w:t>规划计划</w:t>
            </w:r>
          </w:p>
        </w:tc>
        <w:tc>
          <w:tcPr>
            <w:tcW w:w="4111"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学校综合、专项发展规划；学校学年度（或学期）工作计划或重点工作任务；各项规划、计划、任务的执行情况、完成情况。</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统计数据</w:t>
            </w:r>
          </w:p>
        </w:tc>
        <w:tc>
          <w:tcPr>
            <w:tcW w:w="4111" w:type="dxa"/>
            <w:vAlign w:val="center"/>
          </w:tcPr>
          <w:p>
            <w:pPr>
              <w:widowControl/>
              <w:jc w:val="left"/>
              <w:textAlignment w:val="center"/>
              <w:rPr>
                <w:rFonts w:ascii="仿宋_GB2312" w:eastAsia="仿宋_GB2312"/>
              </w:rPr>
            </w:pPr>
            <w:r>
              <w:rPr>
                <w:rFonts w:ascii="仿宋_GB2312" w:eastAsia="仿宋_GB2312"/>
              </w:rPr>
              <w:t>学校年度统计数据，包括但不限于在校生数据、教师数据、办学条件数据等。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3</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财务信息</w:t>
            </w:r>
          </w:p>
        </w:tc>
        <w:tc>
          <w:tcPr>
            <w:tcW w:w="1134" w:type="dxa"/>
            <w:vAlign w:val="center"/>
          </w:tcPr>
          <w:p>
            <w:pPr>
              <w:widowControl/>
              <w:jc w:val="center"/>
              <w:textAlignment w:val="center"/>
              <w:rPr>
                <w:rFonts w:ascii="仿宋_GB2312" w:eastAsia="仿宋_GB2312"/>
              </w:rPr>
            </w:pPr>
            <w:r>
              <w:rPr>
                <w:rFonts w:ascii="仿宋_GB2312" w:eastAsia="仿宋_GB2312"/>
              </w:rPr>
              <w:t>预决算信息</w:t>
            </w:r>
          </w:p>
        </w:tc>
        <w:tc>
          <w:tcPr>
            <w:tcW w:w="4111" w:type="dxa"/>
            <w:vAlign w:val="center"/>
          </w:tcPr>
          <w:p>
            <w:pPr>
              <w:widowControl/>
              <w:jc w:val="left"/>
              <w:textAlignment w:val="center"/>
              <w:rPr>
                <w:rFonts w:ascii="仿宋_GB2312" w:eastAsia="仿宋_GB2312"/>
              </w:rPr>
            </w:pPr>
            <w:r>
              <w:rPr>
                <w:rFonts w:ascii="仿宋_GB2312" w:eastAsia="仿宋_GB2312"/>
              </w:rPr>
              <w:t>学校年度经费预算信息、决算信息。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普通中小学（民办学校除外）</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采购信息</w:t>
            </w:r>
          </w:p>
        </w:tc>
        <w:tc>
          <w:tcPr>
            <w:tcW w:w="4111" w:type="dxa"/>
            <w:vAlign w:val="center"/>
          </w:tcPr>
          <w:p>
            <w:pPr>
              <w:widowControl/>
              <w:jc w:val="left"/>
              <w:textAlignment w:val="center"/>
              <w:rPr>
                <w:rFonts w:ascii="仿宋_GB2312" w:eastAsia="仿宋_GB2312"/>
              </w:rPr>
            </w:pPr>
            <w:r>
              <w:rPr>
                <w:rFonts w:ascii="仿宋_GB2312" w:eastAsia="仿宋_GB2312"/>
              </w:rPr>
              <w:t>大宗物资采购信息和重大基建工程招投标信息。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普通中小学（民办学校除外）</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收费信息</w:t>
            </w:r>
          </w:p>
        </w:tc>
        <w:tc>
          <w:tcPr>
            <w:tcW w:w="4111" w:type="dxa"/>
            <w:vAlign w:val="center"/>
          </w:tcPr>
          <w:p>
            <w:pPr>
              <w:widowControl/>
              <w:jc w:val="left"/>
              <w:textAlignment w:val="center"/>
              <w:rPr>
                <w:rFonts w:ascii="仿宋_GB2312" w:eastAsia="仿宋_GB2312"/>
              </w:rPr>
            </w:pPr>
            <w:r>
              <w:rPr>
                <w:rFonts w:ascii="仿宋_GB2312" w:eastAsia="仿宋_GB2312"/>
              </w:rPr>
              <w:t>学校的收费</w:t>
            </w:r>
            <w:r>
              <w:rPr>
                <w:rFonts w:hint="eastAsia" w:ascii="仿宋_GB2312" w:eastAsia="仿宋_GB2312"/>
                <w:color w:val="000000"/>
                <w:kern w:val="0"/>
                <w:sz w:val="22"/>
                <w:lang w:bidi="ar"/>
              </w:rPr>
              <w:t>（含代收费）</w:t>
            </w:r>
            <w:r>
              <w:rPr>
                <w:rFonts w:ascii="仿宋_GB2312" w:eastAsia="仿宋_GB2312"/>
              </w:rPr>
              <w:t>项目、收费标准和收费依据。</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4</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招生录取</w:t>
            </w:r>
          </w:p>
        </w:tc>
        <w:tc>
          <w:tcPr>
            <w:tcW w:w="1134" w:type="dxa"/>
            <w:vAlign w:val="center"/>
          </w:tcPr>
          <w:p>
            <w:pPr>
              <w:widowControl/>
              <w:jc w:val="center"/>
              <w:textAlignment w:val="center"/>
              <w:rPr>
                <w:rFonts w:ascii="仿宋_GB2312" w:eastAsia="仿宋_GB2312"/>
              </w:rPr>
            </w:pPr>
            <w:r>
              <w:rPr>
                <w:rFonts w:ascii="仿宋_GB2312" w:eastAsia="仿宋_GB2312"/>
              </w:rPr>
              <w:t>招生信息</w:t>
            </w:r>
          </w:p>
        </w:tc>
        <w:tc>
          <w:tcPr>
            <w:tcW w:w="4111" w:type="dxa"/>
            <w:vAlign w:val="center"/>
          </w:tcPr>
          <w:p>
            <w:pPr>
              <w:widowControl/>
              <w:jc w:val="left"/>
              <w:textAlignment w:val="center"/>
              <w:rPr>
                <w:rFonts w:ascii="仿宋_GB2312" w:eastAsia="仿宋_GB2312"/>
              </w:rPr>
            </w:pPr>
            <w:r>
              <w:rPr>
                <w:rFonts w:ascii="仿宋_GB2312" w:eastAsia="仿宋_GB2312"/>
              </w:rPr>
              <w:t>招生范围、招生计划、招生程序、招生条件、咨询电话、救济途径。</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录取信息</w:t>
            </w:r>
          </w:p>
        </w:tc>
        <w:tc>
          <w:tcPr>
            <w:tcW w:w="4111" w:type="dxa"/>
            <w:vAlign w:val="center"/>
          </w:tcPr>
          <w:p>
            <w:pPr>
              <w:widowControl/>
              <w:jc w:val="left"/>
              <w:textAlignment w:val="center"/>
              <w:rPr>
                <w:rFonts w:ascii="仿宋_GB2312" w:eastAsia="仿宋_GB2312"/>
              </w:rPr>
            </w:pPr>
            <w:r>
              <w:rPr>
                <w:rFonts w:ascii="仿宋_GB2312" w:eastAsia="仿宋_GB2312"/>
              </w:rPr>
              <w:t>录取新生信息。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w:t>
            </w:r>
            <w:r>
              <w:rPr>
                <w:rFonts w:hint="eastAsia" w:ascii="仿宋_GB2312" w:eastAsia="仿宋_GB2312"/>
              </w:rPr>
              <w:t>3</w:t>
            </w:r>
            <w:r>
              <w:rPr>
                <w:rFonts w:ascii="仿宋_GB2312" w:eastAsia="仿宋_GB2312"/>
              </w:rPr>
              <w:t>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方便所有报名的学生和家长及时、便捷的获取信息的渠道和载体，比如网站查询，新媒体查询，短信通知，电话通知，张榜公布等</w:t>
            </w:r>
          </w:p>
        </w:tc>
        <w:tc>
          <w:tcPr>
            <w:tcW w:w="773" w:type="dxa"/>
            <w:vAlign w:val="center"/>
          </w:tcPr>
          <w:p>
            <w:pPr>
              <w:jc w:val="center"/>
              <w:rPr>
                <w:rFonts w:ascii="仿宋_GB2312" w:eastAsia="仿宋_GB2312"/>
              </w:rPr>
            </w:pPr>
          </w:p>
        </w:tc>
        <w:tc>
          <w:tcPr>
            <w:tcW w:w="1054" w:type="dxa"/>
            <w:vAlign w:val="center"/>
          </w:tcPr>
          <w:p>
            <w:pPr>
              <w:widowControl/>
              <w:jc w:val="center"/>
              <w:textAlignment w:val="center"/>
            </w:pPr>
            <w:r>
              <w:t>所有报名的学生和家长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5</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教育教学</w:t>
            </w:r>
          </w:p>
        </w:tc>
        <w:tc>
          <w:tcPr>
            <w:tcW w:w="1134" w:type="dxa"/>
            <w:vAlign w:val="center"/>
          </w:tcPr>
          <w:p>
            <w:pPr>
              <w:widowControl/>
              <w:jc w:val="center"/>
              <w:textAlignment w:val="center"/>
              <w:rPr>
                <w:rFonts w:ascii="仿宋_GB2312" w:eastAsia="仿宋_GB2312"/>
              </w:rPr>
            </w:pPr>
            <w:r>
              <w:rPr>
                <w:rFonts w:ascii="仿宋_GB2312" w:eastAsia="仿宋_GB2312"/>
              </w:rPr>
              <w:t>教学信息</w:t>
            </w:r>
          </w:p>
        </w:tc>
        <w:tc>
          <w:tcPr>
            <w:tcW w:w="4111" w:type="dxa"/>
            <w:vAlign w:val="center"/>
          </w:tcPr>
          <w:p>
            <w:pPr>
              <w:widowControl/>
              <w:jc w:val="left"/>
              <w:textAlignment w:val="center"/>
              <w:rPr>
                <w:rFonts w:ascii="仿宋_GB2312" w:eastAsia="仿宋_GB2312"/>
              </w:rPr>
            </w:pPr>
            <w:r>
              <w:rPr>
                <w:rFonts w:ascii="仿宋_GB2312" w:eastAsia="仿宋_GB2312"/>
              </w:rPr>
              <w:t>教学计划、教学活动等信息。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656" w:type="dxa"/>
            <w:vMerge w:val="continue"/>
            <w:vAlign w:val="center"/>
          </w:tcPr>
          <w:p>
            <w:pPr>
              <w:widowControl/>
              <w:jc w:val="center"/>
              <w:textAlignment w:val="center"/>
              <w:rPr>
                <w:rFonts w:ascii="仿宋_GB2312" w:eastAsia="仿宋_GB2312"/>
              </w:rPr>
            </w:pPr>
          </w:p>
        </w:tc>
        <w:tc>
          <w:tcPr>
            <w:tcW w:w="1163" w:type="dxa"/>
            <w:vMerge w:val="continue"/>
            <w:vAlign w:val="center"/>
          </w:tcPr>
          <w:p>
            <w:pPr>
              <w:widowControl/>
              <w:jc w:val="center"/>
              <w:textAlignment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hint="eastAsia" w:ascii="仿宋_GB2312" w:eastAsia="仿宋_GB2312"/>
              </w:rPr>
              <w:t>教材教辅</w:t>
            </w:r>
          </w:p>
        </w:tc>
        <w:tc>
          <w:tcPr>
            <w:tcW w:w="4111" w:type="dxa"/>
            <w:vAlign w:val="center"/>
          </w:tcPr>
          <w:p>
            <w:pPr>
              <w:widowControl/>
              <w:jc w:val="left"/>
              <w:textAlignment w:val="center"/>
              <w:rPr>
                <w:rFonts w:ascii="仿宋_GB2312" w:eastAsia="仿宋_GB2312"/>
              </w:rPr>
            </w:pPr>
            <w:r>
              <w:rPr>
                <w:rFonts w:hint="eastAsia" w:ascii="仿宋_GB2312" w:eastAsia="仿宋_GB2312"/>
              </w:rPr>
              <w:t>教科书和教辅材料选用、使用目录信息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教研信息</w:t>
            </w:r>
          </w:p>
        </w:tc>
        <w:tc>
          <w:tcPr>
            <w:tcW w:w="4111" w:type="dxa"/>
            <w:vAlign w:val="center"/>
          </w:tcPr>
          <w:p>
            <w:pPr>
              <w:widowControl/>
              <w:jc w:val="left"/>
              <w:textAlignment w:val="center"/>
              <w:rPr>
                <w:rFonts w:ascii="仿宋_GB2312" w:eastAsia="仿宋_GB2312"/>
              </w:rPr>
            </w:pPr>
            <w:r>
              <w:rPr>
                <w:rFonts w:ascii="仿宋_GB2312" w:eastAsia="仿宋_GB2312"/>
              </w:rPr>
              <w:t>教学研究活动、成果等信息。</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6</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教师管理</w:t>
            </w:r>
          </w:p>
        </w:tc>
        <w:tc>
          <w:tcPr>
            <w:tcW w:w="1134" w:type="dxa"/>
            <w:vAlign w:val="center"/>
          </w:tcPr>
          <w:p>
            <w:pPr>
              <w:widowControl/>
              <w:jc w:val="center"/>
              <w:textAlignment w:val="center"/>
              <w:rPr>
                <w:rFonts w:ascii="仿宋_GB2312" w:eastAsia="仿宋_GB2312"/>
              </w:rPr>
            </w:pPr>
            <w:r>
              <w:rPr>
                <w:rFonts w:ascii="仿宋_GB2312" w:eastAsia="仿宋_GB2312"/>
              </w:rPr>
              <w:t>教师招聘</w:t>
            </w:r>
          </w:p>
        </w:tc>
        <w:tc>
          <w:tcPr>
            <w:tcW w:w="4111" w:type="dxa"/>
            <w:vAlign w:val="center"/>
          </w:tcPr>
          <w:p>
            <w:pPr>
              <w:widowControl/>
              <w:jc w:val="left"/>
              <w:textAlignment w:val="center"/>
              <w:rPr>
                <w:rFonts w:ascii="仿宋_GB2312" w:eastAsia="仿宋_GB2312"/>
              </w:rPr>
            </w:pPr>
            <w:r>
              <w:rPr>
                <w:rFonts w:ascii="仿宋_GB2312" w:eastAsia="仿宋_GB2312"/>
              </w:rPr>
              <w:t>本校的教师招聘计划；拟聘用人员名单等。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普通中小学（民办学校除外）</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评先树优</w:t>
            </w:r>
          </w:p>
        </w:tc>
        <w:tc>
          <w:tcPr>
            <w:tcW w:w="4111" w:type="dxa"/>
            <w:vAlign w:val="center"/>
          </w:tcPr>
          <w:p>
            <w:pPr>
              <w:widowControl/>
              <w:jc w:val="left"/>
              <w:textAlignment w:val="center"/>
              <w:rPr>
                <w:rFonts w:ascii="仿宋_GB2312" w:eastAsia="仿宋_GB2312"/>
              </w:rPr>
            </w:pPr>
            <w:r>
              <w:rPr>
                <w:rFonts w:ascii="仿宋_GB2312" w:eastAsia="仿宋_GB2312"/>
              </w:rPr>
              <w:t>对教师</w:t>
            </w:r>
            <w:r>
              <w:rPr>
                <w:rFonts w:hint="eastAsia" w:ascii="仿宋_GB2312" w:eastAsia="仿宋_GB2312"/>
                <w:color w:val="000000"/>
                <w:kern w:val="0"/>
                <w:sz w:val="22"/>
                <w:szCs w:val="22"/>
                <w:lang w:bidi="ar"/>
              </w:rPr>
              <w:t>县级（含）以上</w:t>
            </w:r>
            <w:r>
              <w:rPr>
                <w:rFonts w:ascii="仿宋_GB2312" w:eastAsia="仿宋_GB2312"/>
              </w:rPr>
              <w:t>各类评先树优、表彰奖励等的拟推荐人员名单。</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7</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学生管理</w:t>
            </w:r>
          </w:p>
        </w:tc>
        <w:tc>
          <w:tcPr>
            <w:tcW w:w="1134" w:type="dxa"/>
            <w:vAlign w:val="center"/>
          </w:tcPr>
          <w:p>
            <w:pPr>
              <w:widowControl/>
              <w:jc w:val="center"/>
              <w:textAlignment w:val="center"/>
              <w:rPr>
                <w:rFonts w:ascii="仿宋_GB2312" w:eastAsia="仿宋_GB2312"/>
              </w:rPr>
            </w:pPr>
            <w:r>
              <w:rPr>
                <w:rFonts w:ascii="仿宋_GB2312" w:eastAsia="仿宋_GB2312"/>
              </w:rPr>
              <w:t>学生资助</w:t>
            </w:r>
          </w:p>
        </w:tc>
        <w:tc>
          <w:tcPr>
            <w:tcW w:w="4111" w:type="dxa"/>
            <w:vAlign w:val="center"/>
          </w:tcPr>
          <w:p>
            <w:pPr>
              <w:widowControl/>
              <w:jc w:val="left"/>
              <w:textAlignment w:val="center"/>
              <w:rPr>
                <w:rFonts w:ascii="仿宋_GB2312" w:eastAsia="仿宋_GB2312"/>
              </w:rPr>
            </w:pPr>
            <w:r>
              <w:rPr>
                <w:rFonts w:ascii="仿宋_GB2312" w:eastAsia="仿宋_GB2312"/>
              </w:rPr>
              <w:t>适用于本校的学生资助政策、申请指南等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评先树优</w:t>
            </w:r>
          </w:p>
        </w:tc>
        <w:tc>
          <w:tcPr>
            <w:tcW w:w="4111" w:type="dxa"/>
            <w:vAlign w:val="center"/>
          </w:tcPr>
          <w:p>
            <w:pPr>
              <w:widowControl/>
              <w:jc w:val="left"/>
              <w:textAlignment w:val="center"/>
              <w:rPr>
                <w:rFonts w:ascii="仿宋_GB2312" w:eastAsia="仿宋_GB2312"/>
              </w:rPr>
            </w:pPr>
            <w:r>
              <w:rPr>
                <w:rFonts w:ascii="仿宋_GB2312" w:eastAsia="仿宋_GB2312"/>
              </w:rPr>
              <w:t>对学生</w:t>
            </w:r>
            <w:r>
              <w:rPr>
                <w:rFonts w:hint="eastAsia" w:ascii="仿宋_GB2312" w:eastAsia="仿宋_GB2312"/>
                <w:color w:val="000000"/>
                <w:kern w:val="0"/>
                <w:sz w:val="22"/>
                <w:szCs w:val="22"/>
                <w:lang w:bidi="ar"/>
              </w:rPr>
              <w:t>县级（含）以上</w:t>
            </w:r>
            <w:r>
              <w:rPr>
                <w:rFonts w:ascii="仿宋_GB2312" w:eastAsia="仿宋_GB2312"/>
              </w:rPr>
              <w:t>各类评先树优、表彰奖励、加分保送等的拟推荐人员名单。</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8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8</w:t>
            </w:r>
          </w:p>
        </w:tc>
        <w:tc>
          <w:tcPr>
            <w:tcW w:w="1163" w:type="dxa"/>
            <w:vMerge w:val="restart"/>
            <w:vAlign w:val="center"/>
          </w:tcPr>
          <w:p>
            <w:pPr>
              <w:widowControl/>
              <w:jc w:val="center"/>
              <w:textAlignment w:val="center"/>
              <w:rPr>
                <w:rFonts w:ascii="仿宋_GB2312" w:eastAsia="仿宋_GB2312"/>
              </w:rPr>
            </w:pPr>
            <w:r>
              <w:rPr>
                <w:rFonts w:ascii="仿宋_GB2312" w:eastAsia="仿宋_GB2312"/>
              </w:rPr>
              <w:t>体育美育</w:t>
            </w:r>
          </w:p>
        </w:tc>
        <w:tc>
          <w:tcPr>
            <w:tcW w:w="1134" w:type="dxa"/>
            <w:vAlign w:val="center"/>
          </w:tcPr>
          <w:p>
            <w:pPr>
              <w:widowControl/>
              <w:jc w:val="center"/>
              <w:textAlignment w:val="center"/>
              <w:rPr>
                <w:rFonts w:ascii="仿宋_GB2312" w:eastAsia="仿宋_GB2312"/>
              </w:rPr>
            </w:pPr>
            <w:r>
              <w:rPr>
                <w:rFonts w:ascii="仿宋_GB2312" w:eastAsia="仿宋_GB2312"/>
              </w:rPr>
              <w:t>体育评价</w:t>
            </w:r>
          </w:p>
        </w:tc>
        <w:tc>
          <w:tcPr>
            <w:tcW w:w="4111" w:type="dxa"/>
            <w:vAlign w:val="center"/>
          </w:tcPr>
          <w:p>
            <w:pPr>
              <w:widowControl/>
              <w:jc w:val="left"/>
              <w:textAlignment w:val="center"/>
              <w:rPr>
                <w:rFonts w:ascii="仿宋_GB2312" w:eastAsia="仿宋_GB2312"/>
              </w:rPr>
            </w:pPr>
            <w:r>
              <w:rPr>
                <w:rFonts w:ascii="仿宋_GB2312" w:eastAsia="仿宋_GB2312"/>
              </w:rPr>
              <w:t>学校体育工作自评结果（体育课、体育训练、体育比赛、体育教师、体育场地、条件保障等）</w:t>
            </w:r>
            <w:r>
              <w:rPr>
                <w:rFonts w:ascii="仿宋_GB2312" w:eastAsia="仿宋_GB2312"/>
              </w:rPr>
              <w:br w:type="textWrapping"/>
            </w:r>
            <w:r>
              <w:rPr>
                <w:rFonts w:ascii="仿宋_GB2312" w:eastAsia="仿宋_GB2312"/>
              </w:rPr>
              <w:t>学校体育发展年度报告（重点反映体育教学改革、体育教师配备、体育经费投入和体育场地设施、学生体质健康测试等方面的情况）</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美育评价</w:t>
            </w:r>
          </w:p>
        </w:tc>
        <w:tc>
          <w:tcPr>
            <w:tcW w:w="4111" w:type="dxa"/>
            <w:vAlign w:val="center"/>
          </w:tcPr>
          <w:p>
            <w:pPr>
              <w:widowControl/>
              <w:jc w:val="left"/>
              <w:textAlignment w:val="center"/>
              <w:rPr>
                <w:rFonts w:ascii="仿宋_GB2312" w:eastAsia="仿宋_GB2312"/>
              </w:rPr>
            </w:pPr>
            <w:r>
              <w:rPr>
                <w:rFonts w:ascii="仿宋_GB2312" w:eastAsia="仿宋_GB2312"/>
              </w:rPr>
              <w:t>学校艺术教育工作自评结果（艺术课程、艺术活动、艺术教师、条件保障、特色发展及学生艺术素质测评等）</w:t>
            </w:r>
            <w:r>
              <w:rPr>
                <w:rFonts w:ascii="仿宋_GB2312" w:eastAsia="仿宋_GB2312"/>
              </w:rPr>
              <w:br w:type="textWrapping"/>
            </w:r>
            <w:r>
              <w:rPr>
                <w:rFonts w:ascii="仿宋_GB2312" w:eastAsia="仿宋_GB2312"/>
              </w:rPr>
              <w:t>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jc w:val="center"/>
              <w:rPr>
                <w:rFonts w:ascii="仿宋_GB2312" w:eastAsia="仿宋_GB2312"/>
              </w:rPr>
            </w:pPr>
          </w:p>
        </w:tc>
        <w:tc>
          <w:tcPr>
            <w:tcW w:w="1134" w:type="dxa"/>
            <w:vAlign w:val="center"/>
          </w:tcPr>
          <w:p>
            <w:pPr>
              <w:widowControl/>
              <w:jc w:val="center"/>
              <w:textAlignment w:val="center"/>
              <w:rPr>
                <w:rFonts w:ascii="仿宋_GB2312" w:eastAsia="仿宋_GB2312"/>
              </w:rPr>
            </w:pPr>
            <w:r>
              <w:rPr>
                <w:rFonts w:hint="eastAsia" w:ascii="仿宋_GB2312" w:eastAsia="仿宋_GB2312"/>
                <w:color w:val="000000"/>
                <w:kern w:val="0"/>
                <w:sz w:val="22"/>
                <w:lang w:bidi="ar"/>
              </w:rPr>
              <w:t>劳动教育</w:t>
            </w:r>
          </w:p>
        </w:tc>
        <w:tc>
          <w:tcPr>
            <w:tcW w:w="4111" w:type="dxa"/>
            <w:vAlign w:val="center"/>
          </w:tcPr>
          <w:p>
            <w:pPr>
              <w:widowControl/>
              <w:jc w:val="left"/>
              <w:textAlignment w:val="center"/>
              <w:rPr>
                <w:rFonts w:ascii="仿宋_GB2312" w:eastAsia="仿宋_GB2312"/>
              </w:rPr>
            </w:pPr>
            <w:r>
              <w:rPr>
                <w:rFonts w:hint="eastAsia" w:ascii="仿宋_GB2312" w:eastAsia="仿宋_GB2312"/>
                <w:color w:val="000000"/>
                <w:kern w:val="0"/>
                <w:sz w:val="22"/>
                <w:lang w:bidi="ar"/>
              </w:rPr>
              <w:t>劳动教育开展情况等相关信息</w:t>
            </w:r>
          </w:p>
        </w:tc>
        <w:tc>
          <w:tcPr>
            <w:tcW w:w="1559" w:type="dxa"/>
            <w:vAlign w:val="center"/>
          </w:tcPr>
          <w:p>
            <w:pPr>
              <w:widowControl/>
              <w:jc w:val="left"/>
              <w:textAlignment w:val="center"/>
              <w:rPr>
                <w:rFonts w:ascii="仿宋_GB2312" w:eastAsia="仿宋_GB2312"/>
              </w:rPr>
            </w:pPr>
            <w:r>
              <w:rPr>
                <w:rFonts w:hint="eastAsia" w:ascii="仿宋_GB2312" w:eastAsia="仿宋_GB2312"/>
                <w:color w:val="000000"/>
                <w:kern w:val="0"/>
                <w:sz w:val="22"/>
                <w:lang w:bidi="ar"/>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hint="eastAsia" w:ascii="仿宋_GB2312" w:eastAsia="仿宋_GB2312"/>
                <w:color w:val="000000"/>
                <w:kern w:val="0"/>
                <w:sz w:val="22"/>
                <w:lang w:bidi="ar"/>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0" w:hRule="atLeast"/>
          <w:jc w:val="center"/>
        </w:trPr>
        <w:tc>
          <w:tcPr>
            <w:tcW w:w="656" w:type="dxa"/>
            <w:vMerge w:val="restart"/>
            <w:vAlign w:val="center"/>
          </w:tcPr>
          <w:p>
            <w:pPr>
              <w:widowControl/>
              <w:jc w:val="center"/>
              <w:textAlignment w:val="center"/>
              <w:rPr>
                <w:rFonts w:ascii="仿宋_GB2312" w:eastAsia="仿宋_GB2312"/>
              </w:rPr>
            </w:pPr>
            <w:r>
              <w:rPr>
                <w:rFonts w:ascii="仿宋_GB2312" w:eastAsia="仿宋_GB2312"/>
              </w:rPr>
              <w:t>9</w:t>
            </w:r>
          </w:p>
        </w:tc>
        <w:tc>
          <w:tcPr>
            <w:tcW w:w="1163" w:type="dxa"/>
            <w:vMerge w:val="restart"/>
            <w:vAlign w:val="center"/>
          </w:tcPr>
          <w:p>
            <w:pPr>
              <w:widowControl/>
              <w:jc w:val="left"/>
              <w:textAlignment w:val="center"/>
              <w:rPr>
                <w:rFonts w:ascii="仿宋_GB2312" w:eastAsia="仿宋_GB2312"/>
              </w:rPr>
            </w:pPr>
            <w:r>
              <w:rPr>
                <w:rFonts w:ascii="仿宋_GB2312" w:eastAsia="仿宋_GB2312"/>
              </w:rPr>
              <w:t>校园安全</w:t>
            </w:r>
          </w:p>
        </w:tc>
        <w:tc>
          <w:tcPr>
            <w:tcW w:w="1134" w:type="dxa"/>
            <w:vAlign w:val="center"/>
          </w:tcPr>
          <w:p>
            <w:pPr>
              <w:widowControl/>
              <w:jc w:val="center"/>
              <w:textAlignment w:val="center"/>
              <w:rPr>
                <w:rFonts w:ascii="仿宋_GB2312" w:eastAsia="仿宋_GB2312"/>
              </w:rPr>
            </w:pPr>
            <w:r>
              <w:rPr>
                <w:rFonts w:ascii="仿宋_GB2312" w:eastAsia="仿宋_GB2312"/>
              </w:rPr>
              <w:t>安全制度</w:t>
            </w:r>
          </w:p>
        </w:tc>
        <w:tc>
          <w:tcPr>
            <w:tcW w:w="4111" w:type="dxa"/>
            <w:vAlign w:val="center"/>
          </w:tcPr>
          <w:p>
            <w:pPr>
              <w:widowControl/>
              <w:jc w:val="left"/>
              <w:textAlignment w:val="center"/>
              <w:rPr>
                <w:rFonts w:ascii="仿宋_GB2312" w:eastAsia="仿宋_GB2312"/>
              </w:rPr>
            </w:pPr>
            <w:r>
              <w:rPr>
                <w:rFonts w:ascii="仿宋_GB2312" w:eastAsia="仿宋_GB2312"/>
              </w:rPr>
              <w:t>学校各项安管管理制度，包括但不限于课堂教学安全管理、体育课安全管理、实验课（实践活动、实习实训）安全管理、食品安全管理、校车安全管理、校舍安全管理、消防安全管理、宿舍安全管理等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jc w:val="center"/>
        </w:trPr>
        <w:tc>
          <w:tcPr>
            <w:tcW w:w="656" w:type="dxa"/>
            <w:vMerge w:val="continue"/>
            <w:vAlign w:val="center"/>
          </w:tcPr>
          <w:p>
            <w:pPr>
              <w:jc w:val="center"/>
              <w:rPr>
                <w:rFonts w:ascii="仿宋_GB2312" w:eastAsia="仿宋_GB2312"/>
              </w:rPr>
            </w:pPr>
          </w:p>
        </w:tc>
        <w:tc>
          <w:tcPr>
            <w:tcW w:w="1163" w:type="dxa"/>
            <w:vMerge w:val="continue"/>
            <w:vAlign w:val="center"/>
          </w:tcPr>
          <w:p>
            <w:pPr>
              <w:rPr>
                <w:rFonts w:ascii="仿宋_GB2312" w:eastAsia="仿宋_GB2312"/>
              </w:rPr>
            </w:pPr>
          </w:p>
        </w:tc>
        <w:tc>
          <w:tcPr>
            <w:tcW w:w="1134" w:type="dxa"/>
            <w:vAlign w:val="center"/>
          </w:tcPr>
          <w:p>
            <w:pPr>
              <w:widowControl/>
              <w:jc w:val="center"/>
              <w:textAlignment w:val="center"/>
              <w:rPr>
                <w:rFonts w:ascii="仿宋_GB2312" w:eastAsia="仿宋_GB2312"/>
              </w:rPr>
            </w:pPr>
            <w:r>
              <w:rPr>
                <w:rFonts w:ascii="仿宋_GB2312" w:eastAsia="仿宋_GB2312"/>
              </w:rPr>
              <w:t>应急预案</w:t>
            </w:r>
          </w:p>
        </w:tc>
        <w:tc>
          <w:tcPr>
            <w:tcW w:w="4111" w:type="dxa"/>
            <w:vAlign w:val="center"/>
          </w:tcPr>
          <w:p>
            <w:pPr>
              <w:widowControl/>
              <w:jc w:val="left"/>
              <w:textAlignment w:val="center"/>
              <w:rPr>
                <w:rFonts w:ascii="仿宋_GB2312" w:eastAsia="仿宋_GB2312"/>
              </w:rPr>
            </w:pPr>
            <w:r>
              <w:rPr>
                <w:rFonts w:ascii="仿宋_GB2312" w:eastAsia="仿宋_GB2312"/>
              </w:rPr>
              <w:t>学校各项突发事件应急预案,包括但不限于安全事件、自然灾害、卫生防疫等。</w:t>
            </w:r>
          </w:p>
        </w:tc>
        <w:tc>
          <w:tcPr>
            <w:tcW w:w="1559" w:type="dxa"/>
            <w:vAlign w:val="center"/>
          </w:tcPr>
          <w:p>
            <w:pPr>
              <w:widowControl/>
              <w:jc w:val="left"/>
              <w:textAlignment w:val="center"/>
              <w:rPr>
                <w:rFonts w:ascii="仿宋_GB2312" w:eastAsia="仿宋_GB2312"/>
              </w:rPr>
            </w:pPr>
            <w:r>
              <w:rPr>
                <w:rFonts w:ascii="仿宋_GB2312" w:eastAsia="仿宋_GB2312"/>
              </w:rPr>
              <w:t>信息形成或者变更之日起20个工作日内</w:t>
            </w:r>
          </w:p>
        </w:tc>
        <w:tc>
          <w:tcPr>
            <w:tcW w:w="1025" w:type="dxa"/>
            <w:vAlign w:val="center"/>
          </w:tcPr>
          <w:p>
            <w:pPr>
              <w:widowControl/>
              <w:jc w:val="left"/>
              <w:textAlignment w:val="center"/>
              <w:rPr>
                <w:rFonts w:ascii="仿宋_GB2312" w:eastAsia="仿宋_GB2312"/>
              </w:rPr>
            </w:pPr>
            <w:r>
              <w:rPr>
                <w:rFonts w:ascii="仿宋_GB2312" w:eastAsia="仿宋_GB2312"/>
              </w:rPr>
              <w:t>普通中小学</w:t>
            </w:r>
          </w:p>
        </w:tc>
        <w:tc>
          <w:tcPr>
            <w:tcW w:w="3330" w:type="dxa"/>
            <w:vAlign w:val="center"/>
          </w:tcPr>
          <w:p>
            <w:pPr>
              <w:widowControl/>
              <w:jc w:val="left"/>
              <w:textAlignment w:val="center"/>
              <w:rPr>
                <w:rFonts w:ascii="仿宋_GB2312" w:eastAsia="仿宋_GB2312"/>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ascii="仿宋_GB2312" w:eastAsia="仿宋_GB2312"/>
              </w:rPr>
            </w:pPr>
            <w:r>
              <w:rPr>
                <w:rFonts w:ascii="仿宋_GB2312" w:eastAsia="仿宋_GB2312"/>
              </w:rPr>
              <w:t>√</w:t>
            </w:r>
          </w:p>
        </w:tc>
        <w:tc>
          <w:tcPr>
            <w:tcW w:w="1054"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jc w:val="center"/>
        </w:trPr>
        <w:tc>
          <w:tcPr>
            <w:tcW w:w="656" w:type="dxa"/>
            <w:vAlign w:val="center"/>
          </w:tcPr>
          <w:p>
            <w:pPr>
              <w:jc w:val="center"/>
              <w:rPr>
                <w:rFonts w:ascii="仿宋_GB2312" w:eastAsia="仿宋_GB2312"/>
                <w:b/>
                <w:color w:val="000000"/>
                <w:sz w:val="22"/>
                <w:szCs w:val="22"/>
              </w:rPr>
            </w:pPr>
            <w:r>
              <w:rPr>
                <w:rFonts w:hint="eastAsia" w:ascii="仿宋_GB2312" w:eastAsia="仿宋_GB2312"/>
                <w:b/>
                <w:color w:val="000000"/>
                <w:sz w:val="22"/>
              </w:rPr>
              <w:t>10</w:t>
            </w:r>
          </w:p>
        </w:tc>
        <w:tc>
          <w:tcPr>
            <w:tcW w:w="1163" w:type="dxa"/>
            <w:vAlign w:val="center"/>
          </w:tcPr>
          <w:p>
            <w:pPr>
              <w:rPr>
                <w:rFonts w:ascii="仿宋_GB2312" w:eastAsia="仿宋_GB2312"/>
                <w:b/>
                <w:color w:val="000000"/>
                <w:sz w:val="22"/>
                <w:szCs w:val="22"/>
              </w:rPr>
            </w:pPr>
            <w:r>
              <w:rPr>
                <w:rFonts w:hint="eastAsia" w:ascii="仿宋_GB2312" w:eastAsia="仿宋_GB2312"/>
                <w:b/>
                <w:color w:val="000000"/>
                <w:sz w:val="22"/>
              </w:rPr>
              <w:t>信息公开咨询指南</w:t>
            </w:r>
          </w:p>
        </w:tc>
        <w:tc>
          <w:tcPr>
            <w:tcW w:w="1134" w:type="dxa"/>
            <w:vAlign w:val="center"/>
          </w:tcPr>
          <w:p>
            <w:pPr>
              <w:widowControl/>
              <w:jc w:val="center"/>
              <w:textAlignment w:val="center"/>
              <w:rPr>
                <w:rFonts w:ascii="仿宋_GB2312" w:eastAsia="仿宋_GB2312"/>
                <w:color w:val="000000"/>
                <w:kern w:val="0"/>
                <w:sz w:val="22"/>
                <w:szCs w:val="22"/>
                <w:lang w:bidi="ar"/>
              </w:rPr>
            </w:pPr>
            <w:r>
              <w:rPr>
                <w:rFonts w:hint="eastAsia" w:ascii="仿宋_GB2312" w:eastAsia="仿宋_GB2312"/>
                <w:color w:val="000000"/>
                <w:kern w:val="0"/>
                <w:sz w:val="22"/>
                <w:lang w:bidi="ar"/>
              </w:rPr>
              <w:t>信息公开咨询指南</w:t>
            </w:r>
          </w:p>
        </w:tc>
        <w:tc>
          <w:tcPr>
            <w:tcW w:w="4111" w:type="dxa"/>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lang w:bidi="ar"/>
              </w:rPr>
              <w:t>学校接受信息公开咨询的电话号码、接受咨询的时间，接受书面咨询的通信地址、邮政编码等信息。</w:t>
            </w:r>
          </w:p>
        </w:tc>
        <w:tc>
          <w:tcPr>
            <w:tcW w:w="1559" w:type="dxa"/>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lang w:bidi="ar"/>
              </w:rPr>
              <w:t>信息形成或者变更之日起20个工作日内</w:t>
            </w:r>
          </w:p>
        </w:tc>
        <w:tc>
          <w:tcPr>
            <w:tcW w:w="1025" w:type="dxa"/>
            <w:vAlign w:val="center"/>
          </w:tcPr>
          <w:p>
            <w:pPr>
              <w:widowControl/>
              <w:jc w:val="left"/>
              <w:textAlignment w:val="center"/>
              <w:rPr>
                <w:rFonts w:hint="eastAsia" w:ascii="仿宋_GB2312" w:eastAsia="仿宋_GB2312"/>
                <w:color w:val="000000"/>
                <w:kern w:val="0"/>
                <w:sz w:val="22"/>
                <w:szCs w:val="22"/>
                <w:lang w:bidi="ar"/>
              </w:rPr>
            </w:pPr>
            <w:r>
              <w:rPr>
                <w:rFonts w:ascii="仿宋_GB2312" w:eastAsia="仿宋_GB2312"/>
              </w:rPr>
              <w:t>普通中小学</w:t>
            </w:r>
          </w:p>
        </w:tc>
        <w:tc>
          <w:tcPr>
            <w:tcW w:w="3330" w:type="dxa"/>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szCs w:val="22"/>
                <w:lang w:bidi="ar"/>
              </w:rPr>
              <w:t>学校、主管部门或本级人民政府的网站、新媒体均可</w:t>
            </w:r>
          </w:p>
        </w:tc>
        <w:tc>
          <w:tcPr>
            <w:tcW w:w="773" w:type="dxa"/>
            <w:vAlign w:val="center"/>
          </w:tcPr>
          <w:p>
            <w:pPr>
              <w:widowControl/>
              <w:jc w:val="center"/>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lang w:bidi="ar"/>
              </w:rPr>
              <w:t>√</w:t>
            </w:r>
          </w:p>
        </w:tc>
        <w:tc>
          <w:tcPr>
            <w:tcW w:w="1054" w:type="dxa"/>
            <w:vAlign w:val="center"/>
          </w:tcPr>
          <w:p>
            <w:pPr>
              <w:rPr>
                <w:rFonts w:hint="eastAsia" w:ascii="仿宋" w:hAnsi="仿宋" w:eastAsia="仿宋" w:cs="仿宋"/>
                <w:color w:val="000000"/>
                <w:sz w:val="22"/>
                <w:szCs w:val="22"/>
              </w:rPr>
            </w:pPr>
          </w:p>
        </w:tc>
      </w:tr>
    </w:tbl>
    <w:p>
      <w:pPr>
        <w:rPr>
          <w:rStyle w:val="6"/>
          <w:rFonts w:ascii="仿宋_GB2312" w:hAnsi="仿宋_GB2312" w:eastAsia="仿宋_GB2312" w:cs="仿宋_GB2312"/>
          <w:sz w:val="32"/>
          <w:szCs w:val="32"/>
          <w:shd w:val="clear" w:color="auto" w:fill="FFFFFF"/>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670"/>
    <w:rsid w:val="00207B89"/>
    <w:rsid w:val="004E0BC6"/>
    <w:rsid w:val="00B16670"/>
    <w:rsid w:val="00D577AD"/>
    <w:rsid w:val="30C50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Emphasis"/>
    <w:qFormat/>
    <w:uiPriority w:val="0"/>
    <w:rPr>
      <w:i/>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385</Words>
  <Characters>2195</Characters>
  <Lines>18</Lines>
  <Paragraphs>5</Paragraphs>
  <TotalTime>0</TotalTime>
  <ScaleCrop>false</ScaleCrop>
  <LinksUpToDate>false</LinksUpToDate>
  <CharactersWithSpaces>2575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2022-01-05T00:50:00Z</dcterms:created>
  <dc:creator>政府版用户</dc:creator>
  <cp:lastModifiedBy>GFT</cp:lastModifiedBy>
  <dcterms:modified xsi:type="dcterms:W3CDTF">2024-03-01T10:45:02Z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E6979ED214474A229A1028CCE3B9B158_13</vt:lpwstr>
  </property>
</Properties>
</file>