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6"/>
          <w:rFonts w:ascii="黑体" w:hAnsi="黑体" w:eastAsia="黑体" w:cs="黑体"/>
          <w:i w:val="0"/>
          <w:sz w:val="32"/>
          <w:szCs w:val="32"/>
          <w:shd w:val="clear" w:color="auto" w:fill="FFFFFF"/>
        </w:rPr>
      </w:pPr>
      <w:r>
        <w:rPr>
          <w:rStyle w:val="6"/>
          <w:rFonts w:hint="eastAsia" w:ascii="黑体" w:hAnsi="黑体" w:eastAsia="黑体" w:cs="黑体"/>
          <w:i w:val="0"/>
          <w:sz w:val="32"/>
          <w:szCs w:val="32"/>
          <w:shd w:val="clear" w:color="auto" w:fill="FFFFFF"/>
        </w:rPr>
        <w:t>附件2</w:t>
      </w:r>
    </w:p>
    <w:tbl>
      <w:tblPr>
        <w:tblStyle w:val="4"/>
        <w:tblW w:w="148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0"/>
        <w:gridCol w:w="1026"/>
        <w:gridCol w:w="1134"/>
        <w:gridCol w:w="4111"/>
        <w:gridCol w:w="1694"/>
        <w:gridCol w:w="1125"/>
        <w:gridCol w:w="3360"/>
        <w:gridCol w:w="780"/>
        <w:gridCol w:w="10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jc w:val="center"/>
        </w:trPr>
        <w:tc>
          <w:tcPr>
            <w:tcW w:w="14805" w:type="dxa"/>
            <w:gridSpan w:val="9"/>
            <w:tcBorders>
              <w:top w:val="nil"/>
              <w:left w:val="nil"/>
              <w:right w:val="nil"/>
            </w:tcBorders>
            <w:tcMar>
              <w:top w:w="15" w:type="dxa"/>
              <w:left w:w="15" w:type="dxa"/>
              <w:right w:w="15" w:type="dxa"/>
            </w:tcMar>
            <w:vAlign w:val="center"/>
          </w:tcPr>
          <w:p>
            <w:pPr>
              <w:widowControl/>
              <w:jc w:val="center"/>
              <w:textAlignment w:val="center"/>
              <w:rPr>
                <w:rFonts w:hint="eastAsia" w:ascii="方正小标宋简体" w:eastAsia="方正小标宋简体"/>
                <w:color w:val="000000"/>
                <w:sz w:val="36"/>
                <w:szCs w:val="36"/>
              </w:rPr>
            </w:pPr>
            <w:bookmarkStart w:id="0" w:name="_GoBack"/>
            <w:r>
              <w:rPr>
                <w:rFonts w:hint="eastAsia" w:ascii="方正小标宋简体" w:eastAsia="方正小标宋简体"/>
                <w:color w:val="000000"/>
                <w:kern w:val="0"/>
                <w:sz w:val="44"/>
                <w:szCs w:val="44"/>
                <w:lang w:bidi="ar"/>
              </w:rPr>
              <w:t>山东省中等职业学校主动公开基本目录</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jc w:val="center"/>
        </w:trPr>
        <w:tc>
          <w:tcPr>
            <w:tcW w:w="510" w:type="dxa"/>
            <w:vMerge w:val="restart"/>
            <w:tcMar>
              <w:top w:w="15" w:type="dxa"/>
              <w:left w:w="15" w:type="dxa"/>
              <w:right w:w="15" w:type="dxa"/>
            </w:tcMar>
            <w:vAlign w:val="center"/>
          </w:tcPr>
          <w:p>
            <w:pPr>
              <w:widowControl/>
              <w:jc w:val="center"/>
              <w:textAlignment w:val="center"/>
              <w:rPr>
                <w:rFonts w:hint="eastAsia" w:ascii="黑体" w:hAnsi="黑体" w:eastAsia="黑体"/>
                <w:color w:val="000000"/>
                <w:sz w:val="22"/>
              </w:rPr>
            </w:pPr>
            <w:r>
              <w:rPr>
                <w:rFonts w:hint="eastAsia" w:ascii="黑体" w:hAnsi="黑体" w:eastAsia="黑体"/>
                <w:color w:val="000000"/>
                <w:kern w:val="0"/>
                <w:sz w:val="22"/>
                <w:lang w:bidi="ar"/>
              </w:rPr>
              <w:t>序号</w:t>
            </w:r>
          </w:p>
        </w:tc>
        <w:tc>
          <w:tcPr>
            <w:tcW w:w="2160" w:type="dxa"/>
            <w:gridSpan w:val="2"/>
            <w:tcMar>
              <w:top w:w="15" w:type="dxa"/>
              <w:left w:w="15" w:type="dxa"/>
              <w:right w:w="15" w:type="dxa"/>
            </w:tcMar>
            <w:vAlign w:val="center"/>
          </w:tcPr>
          <w:p>
            <w:pPr>
              <w:widowControl/>
              <w:jc w:val="center"/>
              <w:textAlignment w:val="center"/>
              <w:rPr>
                <w:rFonts w:hint="eastAsia" w:ascii="黑体" w:hAnsi="黑体" w:eastAsia="黑体"/>
                <w:color w:val="000000"/>
                <w:sz w:val="22"/>
              </w:rPr>
            </w:pPr>
            <w:r>
              <w:rPr>
                <w:rFonts w:hint="eastAsia" w:ascii="黑体" w:hAnsi="黑体" w:eastAsia="黑体"/>
                <w:color w:val="000000"/>
                <w:kern w:val="0"/>
                <w:sz w:val="22"/>
                <w:lang w:bidi="ar"/>
              </w:rPr>
              <w:t>公开事项</w:t>
            </w:r>
          </w:p>
        </w:tc>
        <w:tc>
          <w:tcPr>
            <w:tcW w:w="4111" w:type="dxa"/>
            <w:vMerge w:val="restart"/>
            <w:tcMar>
              <w:top w:w="15" w:type="dxa"/>
              <w:left w:w="15" w:type="dxa"/>
              <w:right w:w="15" w:type="dxa"/>
            </w:tcMar>
            <w:vAlign w:val="center"/>
          </w:tcPr>
          <w:p>
            <w:pPr>
              <w:widowControl/>
              <w:jc w:val="center"/>
              <w:textAlignment w:val="center"/>
              <w:rPr>
                <w:rFonts w:hint="eastAsia" w:ascii="黑体" w:hAnsi="黑体" w:eastAsia="黑体"/>
                <w:color w:val="000000"/>
                <w:sz w:val="22"/>
              </w:rPr>
            </w:pPr>
            <w:r>
              <w:rPr>
                <w:rFonts w:hint="eastAsia" w:ascii="黑体" w:hAnsi="黑体" w:eastAsia="黑体"/>
                <w:color w:val="000000"/>
                <w:kern w:val="0"/>
                <w:sz w:val="22"/>
                <w:lang w:bidi="ar"/>
              </w:rPr>
              <w:t>公开内容</w:t>
            </w:r>
            <w:r>
              <w:rPr>
                <w:rFonts w:hint="eastAsia" w:ascii="黑体" w:hAnsi="黑体" w:eastAsia="黑体"/>
                <w:color w:val="000000"/>
                <w:kern w:val="0"/>
                <w:sz w:val="22"/>
                <w:lang w:bidi="ar"/>
              </w:rPr>
              <w:br w:type="textWrapping"/>
            </w:r>
            <w:r>
              <w:rPr>
                <w:rFonts w:hint="eastAsia" w:ascii="黑体" w:hAnsi="黑体" w:eastAsia="黑体"/>
                <w:color w:val="000000"/>
                <w:kern w:val="0"/>
                <w:sz w:val="22"/>
                <w:lang w:bidi="ar"/>
              </w:rPr>
              <w:t>（要素）</w:t>
            </w:r>
          </w:p>
        </w:tc>
        <w:tc>
          <w:tcPr>
            <w:tcW w:w="1694" w:type="dxa"/>
            <w:vMerge w:val="restart"/>
            <w:tcMar>
              <w:top w:w="15" w:type="dxa"/>
              <w:left w:w="15" w:type="dxa"/>
              <w:right w:w="15" w:type="dxa"/>
            </w:tcMar>
            <w:vAlign w:val="center"/>
          </w:tcPr>
          <w:p>
            <w:pPr>
              <w:widowControl/>
              <w:jc w:val="center"/>
              <w:textAlignment w:val="center"/>
              <w:rPr>
                <w:rFonts w:hint="eastAsia" w:ascii="黑体" w:hAnsi="黑体" w:eastAsia="黑体"/>
                <w:color w:val="000000"/>
                <w:sz w:val="22"/>
              </w:rPr>
            </w:pPr>
            <w:r>
              <w:rPr>
                <w:rFonts w:hint="eastAsia" w:ascii="黑体" w:hAnsi="黑体" w:eastAsia="黑体"/>
                <w:color w:val="000000"/>
                <w:kern w:val="0"/>
                <w:sz w:val="22"/>
                <w:lang w:bidi="ar"/>
              </w:rPr>
              <w:t>公开</w:t>
            </w:r>
            <w:r>
              <w:rPr>
                <w:rFonts w:hint="eastAsia" w:ascii="黑体" w:hAnsi="黑体" w:eastAsia="黑体"/>
                <w:color w:val="000000"/>
                <w:kern w:val="0"/>
                <w:sz w:val="22"/>
                <w:lang w:bidi="ar"/>
              </w:rPr>
              <w:br w:type="textWrapping"/>
            </w:r>
            <w:r>
              <w:rPr>
                <w:rFonts w:hint="eastAsia" w:ascii="黑体" w:hAnsi="黑体" w:eastAsia="黑体"/>
                <w:color w:val="000000"/>
                <w:kern w:val="0"/>
                <w:sz w:val="22"/>
                <w:lang w:bidi="ar"/>
              </w:rPr>
              <w:t>时限</w:t>
            </w:r>
          </w:p>
        </w:tc>
        <w:tc>
          <w:tcPr>
            <w:tcW w:w="1125" w:type="dxa"/>
            <w:vMerge w:val="restart"/>
            <w:tcMar>
              <w:top w:w="15" w:type="dxa"/>
              <w:left w:w="15" w:type="dxa"/>
              <w:right w:w="15" w:type="dxa"/>
            </w:tcMar>
            <w:vAlign w:val="center"/>
          </w:tcPr>
          <w:p>
            <w:pPr>
              <w:widowControl/>
              <w:jc w:val="center"/>
              <w:textAlignment w:val="center"/>
              <w:rPr>
                <w:rFonts w:hint="eastAsia" w:ascii="黑体" w:hAnsi="黑体" w:eastAsia="黑体"/>
                <w:color w:val="000000"/>
                <w:sz w:val="22"/>
              </w:rPr>
            </w:pPr>
            <w:r>
              <w:rPr>
                <w:rFonts w:hint="eastAsia" w:ascii="黑体" w:hAnsi="黑体" w:eastAsia="黑体"/>
                <w:color w:val="000000"/>
                <w:kern w:val="0"/>
                <w:sz w:val="22"/>
                <w:lang w:bidi="ar"/>
              </w:rPr>
              <w:t>公开</w:t>
            </w:r>
            <w:r>
              <w:rPr>
                <w:rFonts w:hint="eastAsia" w:ascii="黑体" w:hAnsi="黑体" w:eastAsia="黑体"/>
                <w:color w:val="000000"/>
                <w:kern w:val="0"/>
                <w:sz w:val="22"/>
                <w:lang w:bidi="ar"/>
              </w:rPr>
              <w:br w:type="textWrapping"/>
            </w:r>
            <w:r>
              <w:rPr>
                <w:rFonts w:hint="eastAsia" w:ascii="黑体" w:hAnsi="黑体" w:eastAsia="黑体"/>
                <w:color w:val="000000"/>
                <w:kern w:val="0"/>
                <w:sz w:val="22"/>
                <w:lang w:bidi="ar"/>
              </w:rPr>
              <w:t>主体</w:t>
            </w:r>
          </w:p>
        </w:tc>
        <w:tc>
          <w:tcPr>
            <w:tcW w:w="3360" w:type="dxa"/>
            <w:vMerge w:val="restart"/>
            <w:tcMar>
              <w:top w:w="15" w:type="dxa"/>
              <w:left w:w="15" w:type="dxa"/>
              <w:right w:w="15" w:type="dxa"/>
            </w:tcMar>
            <w:vAlign w:val="center"/>
          </w:tcPr>
          <w:p>
            <w:pPr>
              <w:widowControl/>
              <w:jc w:val="center"/>
              <w:textAlignment w:val="center"/>
              <w:rPr>
                <w:rFonts w:hint="eastAsia" w:ascii="黑体" w:hAnsi="黑体" w:eastAsia="黑体"/>
                <w:color w:val="000000"/>
                <w:sz w:val="22"/>
              </w:rPr>
            </w:pPr>
            <w:r>
              <w:rPr>
                <w:rFonts w:hint="eastAsia" w:ascii="黑体" w:hAnsi="黑体" w:eastAsia="黑体"/>
                <w:color w:val="000000"/>
                <w:kern w:val="0"/>
                <w:sz w:val="22"/>
                <w:lang w:bidi="ar"/>
              </w:rPr>
              <w:t>公开渠道和载体</w:t>
            </w:r>
          </w:p>
        </w:tc>
        <w:tc>
          <w:tcPr>
            <w:tcW w:w="1845" w:type="dxa"/>
            <w:gridSpan w:val="2"/>
            <w:tcMar>
              <w:top w:w="15" w:type="dxa"/>
              <w:left w:w="15" w:type="dxa"/>
              <w:right w:w="15" w:type="dxa"/>
            </w:tcMar>
            <w:vAlign w:val="center"/>
          </w:tcPr>
          <w:p>
            <w:pPr>
              <w:widowControl/>
              <w:jc w:val="center"/>
              <w:textAlignment w:val="center"/>
              <w:rPr>
                <w:rFonts w:hint="eastAsia" w:ascii="黑体" w:hAnsi="黑体" w:eastAsia="黑体"/>
                <w:color w:val="000000"/>
                <w:sz w:val="22"/>
              </w:rPr>
            </w:pPr>
            <w:r>
              <w:rPr>
                <w:rFonts w:hint="eastAsia" w:ascii="黑体" w:hAnsi="黑体" w:eastAsia="黑体"/>
                <w:color w:val="000000"/>
                <w:kern w:val="0"/>
                <w:sz w:val="22"/>
                <w:lang w:bidi="ar"/>
              </w:rPr>
              <w:t>公开对象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jc w:val="center"/>
        </w:trPr>
        <w:tc>
          <w:tcPr>
            <w:tcW w:w="510" w:type="dxa"/>
            <w:vMerge w:val="continue"/>
            <w:tcMar>
              <w:top w:w="15" w:type="dxa"/>
              <w:left w:w="15" w:type="dxa"/>
              <w:right w:w="15" w:type="dxa"/>
            </w:tcMar>
            <w:vAlign w:val="center"/>
          </w:tcPr>
          <w:p>
            <w:pPr>
              <w:jc w:val="center"/>
              <w:rPr>
                <w:rFonts w:hint="eastAsia" w:ascii="黑体" w:hAnsi="黑体" w:eastAsia="黑体"/>
                <w:color w:val="000000"/>
                <w:sz w:val="22"/>
              </w:rPr>
            </w:pPr>
          </w:p>
        </w:tc>
        <w:tc>
          <w:tcPr>
            <w:tcW w:w="1026" w:type="dxa"/>
            <w:tcMar>
              <w:top w:w="15" w:type="dxa"/>
              <w:left w:w="15" w:type="dxa"/>
              <w:right w:w="15" w:type="dxa"/>
            </w:tcMar>
            <w:vAlign w:val="center"/>
          </w:tcPr>
          <w:p>
            <w:pPr>
              <w:widowControl/>
              <w:jc w:val="center"/>
              <w:textAlignment w:val="center"/>
              <w:rPr>
                <w:rFonts w:hint="eastAsia" w:ascii="黑体" w:hAnsi="黑体" w:eastAsia="黑体"/>
                <w:color w:val="000000"/>
                <w:sz w:val="22"/>
              </w:rPr>
            </w:pPr>
            <w:r>
              <w:rPr>
                <w:rFonts w:hint="eastAsia" w:ascii="黑体" w:hAnsi="黑体" w:eastAsia="黑体"/>
                <w:color w:val="000000"/>
                <w:kern w:val="0"/>
                <w:sz w:val="22"/>
                <w:lang w:bidi="ar"/>
              </w:rPr>
              <w:t>一级事项</w:t>
            </w:r>
          </w:p>
        </w:tc>
        <w:tc>
          <w:tcPr>
            <w:tcW w:w="1134" w:type="dxa"/>
            <w:tcMar>
              <w:top w:w="15" w:type="dxa"/>
              <w:left w:w="15" w:type="dxa"/>
              <w:right w:w="15" w:type="dxa"/>
            </w:tcMar>
            <w:vAlign w:val="center"/>
          </w:tcPr>
          <w:p>
            <w:pPr>
              <w:widowControl/>
              <w:jc w:val="center"/>
              <w:textAlignment w:val="center"/>
              <w:rPr>
                <w:rFonts w:hint="eastAsia" w:ascii="黑体" w:hAnsi="黑体" w:eastAsia="黑体"/>
                <w:color w:val="000000"/>
                <w:sz w:val="22"/>
              </w:rPr>
            </w:pPr>
            <w:r>
              <w:rPr>
                <w:rFonts w:hint="eastAsia" w:ascii="黑体" w:hAnsi="黑体" w:eastAsia="黑体"/>
                <w:color w:val="000000"/>
                <w:kern w:val="0"/>
                <w:sz w:val="22"/>
                <w:lang w:bidi="ar"/>
              </w:rPr>
              <w:t>二级事项</w:t>
            </w:r>
          </w:p>
        </w:tc>
        <w:tc>
          <w:tcPr>
            <w:tcW w:w="4111" w:type="dxa"/>
            <w:vMerge w:val="continue"/>
            <w:tcMar>
              <w:top w:w="15" w:type="dxa"/>
              <w:left w:w="15" w:type="dxa"/>
              <w:right w:w="15" w:type="dxa"/>
            </w:tcMar>
            <w:vAlign w:val="center"/>
          </w:tcPr>
          <w:p>
            <w:pPr>
              <w:jc w:val="center"/>
              <w:rPr>
                <w:rFonts w:hint="eastAsia" w:ascii="黑体" w:hAnsi="黑体" w:eastAsia="黑体"/>
                <w:color w:val="000000"/>
                <w:sz w:val="22"/>
              </w:rPr>
            </w:pPr>
          </w:p>
        </w:tc>
        <w:tc>
          <w:tcPr>
            <w:tcW w:w="1694" w:type="dxa"/>
            <w:vMerge w:val="continue"/>
            <w:tcMar>
              <w:top w:w="15" w:type="dxa"/>
              <w:left w:w="15" w:type="dxa"/>
              <w:right w:w="15" w:type="dxa"/>
            </w:tcMar>
            <w:vAlign w:val="center"/>
          </w:tcPr>
          <w:p>
            <w:pPr>
              <w:jc w:val="center"/>
              <w:rPr>
                <w:rFonts w:hint="eastAsia" w:ascii="黑体" w:hAnsi="黑体" w:eastAsia="黑体"/>
                <w:color w:val="000000"/>
                <w:sz w:val="22"/>
              </w:rPr>
            </w:pPr>
          </w:p>
        </w:tc>
        <w:tc>
          <w:tcPr>
            <w:tcW w:w="1125" w:type="dxa"/>
            <w:vMerge w:val="continue"/>
            <w:tcMar>
              <w:top w:w="15" w:type="dxa"/>
              <w:left w:w="15" w:type="dxa"/>
              <w:right w:w="15" w:type="dxa"/>
            </w:tcMar>
            <w:vAlign w:val="center"/>
          </w:tcPr>
          <w:p>
            <w:pPr>
              <w:jc w:val="center"/>
              <w:rPr>
                <w:rFonts w:hint="eastAsia" w:ascii="黑体" w:hAnsi="黑体" w:eastAsia="黑体"/>
                <w:color w:val="000000"/>
                <w:sz w:val="22"/>
              </w:rPr>
            </w:pPr>
          </w:p>
        </w:tc>
        <w:tc>
          <w:tcPr>
            <w:tcW w:w="3360" w:type="dxa"/>
            <w:vMerge w:val="continue"/>
            <w:tcMar>
              <w:top w:w="15" w:type="dxa"/>
              <w:left w:w="15" w:type="dxa"/>
              <w:right w:w="15" w:type="dxa"/>
            </w:tcMar>
            <w:vAlign w:val="center"/>
          </w:tcPr>
          <w:p>
            <w:pPr>
              <w:jc w:val="center"/>
              <w:rPr>
                <w:rFonts w:hint="eastAsia" w:ascii="黑体" w:hAnsi="黑体" w:eastAsia="黑体"/>
                <w:color w:val="000000"/>
                <w:sz w:val="22"/>
              </w:rPr>
            </w:pPr>
          </w:p>
        </w:tc>
        <w:tc>
          <w:tcPr>
            <w:tcW w:w="780" w:type="dxa"/>
            <w:tcMar>
              <w:top w:w="15" w:type="dxa"/>
              <w:left w:w="15" w:type="dxa"/>
              <w:right w:w="15" w:type="dxa"/>
            </w:tcMar>
            <w:vAlign w:val="center"/>
          </w:tcPr>
          <w:p>
            <w:pPr>
              <w:widowControl/>
              <w:jc w:val="center"/>
              <w:textAlignment w:val="center"/>
              <w:rPr>
                <w:rFonts w:hint="eastAsia" w:ascii="黑体" w:hAnsi="黑体" w:eastAsia="黑体"/>
                <w:color w:val="000000"/>
                <w:sz w:val="22"/>
              </w:rPr>
            </w:pPr>
            <w:r>
              <w:rPr>
                <w:rFonts w:hint="eastAsia" w:ascii="黑体" w:hAnsi="黑体" w:eastAsia="黑体"/>
                <w:color w:val="000000"/>
                <w:kern w:val="0"/>
                <w:sz w:val="22"/>
                <w:lang w:bidi="ar"/>
              </w:rPr>
              <w:t>全社会</w:t>
            </w:r>
          </w:p>
        </w:tc>
        <w:tc>
          <w:tcPr>
            <w:tcW w:w="1065" w:type="dxa"/>
            <w:tcMar>
              <w:top w:w="15" w:type="dxa"/>
              <w:left w:w="15" w:type="dxa"/>
              <w:right w:w="15" w:type="dxa"/>
            </w:tcMar>
            <w:vAlign w:val="center"/>
          </w:tcPr>
          <w:p>
            <w:pPr>
              <w:widowControl/>
              <w:jc w:val="center"/>
              <w:textAlignment w:val="center"/>
              <w:rPr>
                <w:rFonts w:hint="eastAsia" w:ascii="黑体" w:hAnsi="黑体" w:eastAsia="黑体"/>
                <w:color w:val="000000"/>
                <w:sz w:val="22"/>
              </w:rPr>
            </w:pPr>
            <w:r>
              <w:rPr>
                <w:rFonts w:hint="eastAsia" w:ascii="黑体" w:hAnsi="黑体" w:eastAsia="黑体"/>
                <w:color w:val="000000"/>
                <w:kern w:val="0"/>
                <w:sz w:val="22"/>
                <w:lang w:bidi="ar"/>
              </w:rPr>
              <w:t>特定群体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0" w:hRule="atLeast"/>
          <w:jc w:val="center"/>
        </w:trPr>
        <w:tc>
          <w:tcPr>
            <w:tcW w:w="510" w:type="dxa"/>
            <w:vMerge w:val="restart"/>
            <w:tcMar>
              <w:top w:w="15" w:type="dxa"/>
              <w:left w:w="15" w:type="dxa"/>
              <w:right w:w="15" w:type="dxa"/>
            </w:tcMar>
            <w:vAlign w:val="center"/>
          </w:tcPr>
          <w:p>
            <w:pPr>
              <w:widowControl/>
              <w:jc w:val="center"/>
              <w:textAlignment w:val="center"/>
              <w:rPr>
                <w:rFonts w:ascii="仿宋_GB2312" w:eastAsia="仿宋_GB2312"/>
                <w:b/>
                <w:color w:val="000000"/>
                <w:sz w:val="22"/>
              </w:rPr>
            </w:pPr>
            <w:r>
              <w:rPr>
                <w:rFonts w:hint="eastAsia" w:ascii="仿宋_GB2312" w:eastAsia="仿宋_GB2312"/>
                <w:b/>
                <w:color w:val="000000"/>
                <w:kern w:val="0"/>
                <w:sz w:val="22"/>
                <w:lang w:bidi="ar"/>
              </w:rPr>
              <w:t>1</w:t>
            </w:r>
          </w:p>
        </w:tc>
        <w:tc>
          <w:tcPr>
            <w:tcW w:w="1026" w:type="dxa"/>
            <w:vMerge w:val="restart"/>
            <w:tcMar>
              <w:top w:w="15" w:type="dxa"/>
              <w:left w:w="15" w:type="dxa"/>
              <w:right w:w="15" w:type="dxa"/>
            </w:tcMar>
            <w:vAlign w:val="center"/>
          </w:tcPr>
          <w:p>
            <w:pPr>
              <w:widowControl/>
              <w:jc w:val="center"/>
              <w:textAlignment w:val="center"/>
              <w:rPr>
                <w:rFonts w:hint="eastAsia" w:ascii="仿宋_GB2312" w:eastAsia="仿宋_GB2312"/>
                <w:b/>
                <w:color w:val="000000"/>
                <w:sz w:val="22"/>
              </w:rPr>
            </w:pPr>
            <w:r>
              <w:rPr>
                <w:rFonts w:hint="eastAsia" w:ascii="仿宋_GB2312" w:eastAsia="仿宋_GB2312"/>
                <w:b/>
                <w:color w:val="000000"/>
                <w:kern w:val="0"/>
                <w:sz w:val="22"/>
                <w:lang w:bidi="ar"/>
              </w:rPr>
              <w:t>学校概况</w:t>
            </w:r>
          </w:p>
        </w:tc>
        <w:tc>
          <w:tcPr>
            <w:tcW w:w="1134"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基本情况</w:t>
            </w:r>
          </w:p>
        </w:tc>
        <w:tc>
          <w:tcPr>
            <w:tcW w:w="4111"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办学性质、主管部门、办学地点、联系方式、办学规模、办学条件、办学特色、师资水平、荣誉奖励、历史沿革、专业设置及特色、学生就业情况。</w:t>
            </w:r>
          </w:p>
        </w:tc>
        <w:tc>
          <w:tcPr>
            <w:tcW w:w="1694"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信息形成或者变更之日起20个工作日内</w:t>
            </w:r>
          </w:p>
        </w:tc>
        <w:tc>
          <w:tcPr>
            <w:tcW w:w="1125"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中等职业学校</w:t>
            </w:r>
          </w:p>
        </w:tc>
        <w:tc>
          <w:tcPr>
            <w:tcW w:w="3360"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szCs w:val="22"/>
                <w:lang w:bidi="ar"/>
              </w:rPr>
              <w:t>学校、主管部门或本级人民政府的网站、新媒体均可</w:t>
            </w:r>
          </w:p>
        </w:tc>
        <w:tc>
          <w:tcPr>
            <w:tcW w:w="780"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w:t>
            </w:r>
          </w:p>
        </w:tc>
        <w:tc>
          <w:tcPr>
            <w:tcW w:w="1065" w:type="dxa"/>
            <w:tcMar>
              <w:top w:w="15" w:type="dxa"/>
              <w:left w:w="15" w:type="dxa"/>
              <w:right w:w="15" w:type="dxa"/>
            </w:tcMar>
            <w:vAlign w:val="center"/>
          </w:tcPr>
          <w:p>
            <w:pPr>
              <w:jc w:val="center"/>
              <w:rPr>
                <w:rFonts w:hint="eastAsia" w:ascii="仿宋_GB2312" w:eastAsia="仿宋_GB2312"/>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jc w:val="center"/>
        </w:trPr>
        <w:tc>
          <w:tcPr>
            <w:tcW w:w="510"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026"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134"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领导班子</w:t>
            </w:r>
          </w:p>
        </w:tc>
        <w:tc>
          <w:tcPr>
            <w:tcW w:w="4111"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学校领导班子成员姓名、职务、简历、分工。</w:t>
            </w:r>
          </w:p>
        </w:tc>
        <w:tc>
          <w:tcPr>
            <w:tcW w:w="1694"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信息形成或者变更之日起20个工作日内</w:t>
            </w:r>
          </w:p>
        </w:tc>
        <w:tc>
          <w:tcPr>
            <w:tcW w:w="1125"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中等职业学校</w:t>
            </w:r>
          </w:p>
        </w:tc>
        <w:tc>
          <w:tcPr>
            <w:tcW w:w="3360"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szCs w:val="22"/>
                <w:lang w:bidi="ar"/>
              </w:rPr>
              <w:t>学校、主管部门或本级人民政府的网站、新媒体均可</w:t>
            </w:r>
          </w:p>
        </w:tc>
        <w:tc>
          <w:tcPr>
            <w:tcW w:w="780"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w:t>
            </w:r>
          </w:p>
        </w:tc>
        <w:tc>
          <w:tcPr>
            <w:tcW w:w="1065" w:type="dxa"/>
            <w:tcMar>
              <w:top w:w="15" w:type="dxa"/>
              <w:left w:w="15" w:type="dxa"/>
              <w:right w:w="15" w:type="dxa"/>
            </w:tcMar>
            <w:vAlign w:val="center"/>
          </w:tcPr>
          <w:p>
            <w:pPr>
              <w:jc w:val="center"/>
              <w:rPr>
                <w:rFonts w:hint="eastAsia" w:ascii="仿宋_GB2312" w:eastAsia="仿宋_GB2312"/>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60" w:hRule="atLeast"/>
          <w:jc w:val="center"/>
        </w:trPr>
        <w:tc>
          <w:tcPr>
            <w:tcW w:w="510"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026"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134"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机构设置</w:t>
            </w:r>
          </w:p>
        </w:tc>
        <w:tc>
          <w:tcPr>
            <w:tcW w:w="4111"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学校内设管理机构的名称、职能、联系电话。</w:t>
            </w:r>
          </w:p>
        </w:tc>
        <w:tc>
          <w:tcPr>
            <w:tcW w:w="1694"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信息形成或者变更之日起20个工作日内</w:t>
            </w:r>
          </w:p>
        </w:tc>
        <w:tc>
          <w:tcPr>
            <w:tcW w:w="1125"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中等职业学校</w:t>
            </w:r>
          </w:p>
        </w:tc>
        <w:tc>
          <w:tcPr>
            <w:tcW w:w="3360"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szCs w:val="22"/>
                <w:lang w:bidi="ar"/>
              </w:rPr>
              <w:t>学校、主管部门或本级人民政府的网站、新媒体均可</w:t>
            </w:r>
          </w:p>
        </w:tc>
        <w:tc>
          <w:tcPr>
            <w:tcW w:w="780"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w:t>
            </w:r>
          </w:p>
        </w:tc>
        <w:tc>
          <w:tcPr>
            <w:tcW w:w="1065" w:type="dxa"/>
            <w:tcMar>
              <w:top w:w="15" w:type="dxa"/>
              <w:left w:w="15" w:type="dxa"/>
              <w:right w:w="15" w:type="dxa"/>
            </w:tcMar>
            <w:vAlign w:val="center"/>
          </w:tcPr>
          <w:p>
            <w:pPr>
              <w:jc w:val="center"/>
              <w:rPr>
                <w:rFonts w:hint="eastAsia" w:ascii="仿宋_GB2312" w:eastAsia="仿宋_GB2312"/>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8" w:hRule="atLeast"/>
          <w:jc w:val="center"/>
        </w:trPr>
        <w:tc>
          <w:tcPr>
            <w:tcW w:w="510"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026"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134"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规章制度</w:t>
            </w:r>
          </w:p>
        </w:tc>
        <w:tc>
          <w:tcPr>
            <w:tcW w:w="4111"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学校现行有效的规章制度，包括但不限于学生管理、教师管理、财务管理、教学管理、实习实训管理</w:t>
            </w:r>
            <w:r>
              <w:rPr>
                <w:rFonts w:ascii="仿宋_GB2312" w:eastAsia="仿宋_GB2312"/>
                <w:color w:val="000000"/>
                <w:kern w:val="0"/>
                <w:sz w:val="22"/>
                <w:lang w:bidi="ar"/>
              </w:rPr>
              <w:t>、</w:t>
            </w:r>
            <w:r>
              <w:rPr>
                <w:rFonts w:hint="eastAsia" w:ascii="仿宋_GB2312" w:eastAsia="仿宋_GB2312"/>
                <w:color w:val="000000"/>
                <w:kern w:val="0"/>
                <w:sz w:val="22"/>
                <w:lang w:bidi="ar"/>
              </w:rPr>
              <w:t>考试管理等。</w:t>
            </w:r>
          </w:p>
        </w:tc>
        <w:tc>
          <w:tcPr>
            <w:tcW w:w="1694"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信息形成或者变更之日起20个工作日内</w:t>
            </w:r>
          </w:p>
        </w:tc>
        <w:tc>
          <w:tcPr>
            <w:tcW w:w="1125"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中等职业学校</w:t>
            </w:r>
          </w:p>
        </w:tc>
        <w:tc>
          <w:tcPr>
            <w:tcW w:w="3360"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szCs w:val="22"/>
                <w:lang w:bidi="ar"/>
              </w:rPr>
              <w:t>学校、主管部门或本级人民政府的网站、新媒体均可</w:t>
            </w:r>
          </w:p>
        </w:tc>
        <w:tc>
          <w:tcPr>
            <w:tcW w:w="780"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w:t>
            </w:r>
          </w:p>
        </w:tc>
        <w:tc>
          <w:tcPr>
            <w:tcW w:w="1065" w:type="dxa"/>
            <w:tcMar>
              <w:top w:w="15" w:type="dxa"/>
              <w:left w:w="15" w:type="dxa"/>
              <w:right w:w="15" w:type="dxa"/>
            </w:tcMar>
            <w:vAlign w:val="center"/>
          </w:tcPr>
          <w:p>
            <w:pPr>
              <w:jc w:val="center"/>
              <w:rPr>
                <w:rFonts w:hint="eastAsia" w:ascii="仿宋_GB2312" w:eastAsia="仿宋_GB2312"/>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60" w:hRule="atLeast"/>
          <w:jc w:val="center"/>
        </w:trPr>
        <w:tc>
          <w:tcPr>
            <w:tcW w:w="510" w:type="dxa"/>
            <w:vMerge w:val="restart"/>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2</w:t>
            </w:r>
          </w:p>
        </w:tc>
        <w:tc>
          <w:tcPr>
            <w:tcW w:w="1026" w:type="dxa"/>
            <w:vMerge w:val="restart"/>
            <w:tcMar>
              <w:top w:w="15" w:type="dxa"/>
              <w:left w:w="15" w:type="dxa"/>
              <w:right w:w="15" w:type="dxa"/>
            </w:tcMar>
            <w:vAlign w:val="center"/>
          </w:tcPr>
          <w:p>
            <w:pPr>
              <w:widowControl/>
              <w:jc w:val="center"/>
              <w:textAlignment w:val="center"/>
              <w:rPr>
                <w:rFonts w:hint="eastAsia" w:ascii="仿宋_GB2312" w:eastAsia="仿宋_GB2312"/>
                <w:b/>
                <w:color w:val="000000"/>
                <w:sz w:val="22"/>
              </w:rPr>
            </w:pPr>
            <w:r>
              <w:rPr>
                <w:rFonts w:hint="eastAsia" w:ascii="仿宋_GB2312" w:eastAsia="仿宋_GB2312"/>
                <w:b/>
                <w:color w:val="000000"/>
                <w:kern w:val="0"/>
                <w:sz w:val="22"/>
                <w:lang w:bidi="ar"/>
              </w:rPr>
              <w:t>规划统计</w:t>
            </w:r>
          </w:p>
        </w:tc>
        <w:tc>
          <w:tcPr>
            <w:tcW w:w="1134"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规划计划</w:t>
            </w:r>
          </w:p>
        </w:tc>
        <w:tc>
          <w:tcPr>
            <w:tcW w:w="4111"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szCs w:val="22"/>
                <w:lang w:bidi="ar"/>
              </w:rPr>
              <w:t>学校综合、专项发展规划；学校学年度（或学期）工作计划或重点工作任务；各项规划、计划、任务的执行情况、完成情况。</w:t>
            </w:r>
          </w:p>
        </w:tc>
        <w:tc>
          <w:tcPr>
            <w:tcW w:w="1694"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信息形成或者变更之日起20个工作日内</w:t>
            </w:r>
          </w:p>
        </w:tc>
        <w:tc>
          <w:tcPr>
            <w:tcW w:w="1125"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中等职业学校</w:t>
            </w:r>
          </w:p>
        </w:tc>
        <w:tc>
          <w:tcPr>
            <w:tcW w:w="3360"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szCs w:val="22"/>
                <w:lang w:bidi="ar"/>
              </w:rPr>
              <w:t>学学校、主管部门或本级人民政府的网站、新媒体均可</w:t>
            </w:r>
          </w:p>
        </w:tc>
        <w:tc>
          <w:tcPr>
            <w:tcW w:w="780"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w:t>
            </w:r>
          </w:p>
        </w:tc>
        <w:tc>
          <w:tcPr>
            <w:tcW w:w="1065" w:type="dxa"/>
            <w:tcMar>
              <w:top w:w="15" w:type="dxa"/>
              <w:left w:w="15" w:type="dxa"/>
              <w:right w:w="15" w:type="dxa"/>
            </w:tcMar>
            <w:vAlign w:val="center"/>
          </w:tcPr>
          <w:p>
            <w:pPr>
              <w:jc w:val="center"/>
              <w:rPr>
                <w:rFonts w:hint="eastAsia" w:ascii="仿宋_GB2312" w:eastAsia="仿宋_GB2312"/>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82" w:hRule="atLeast"/>
          <w:jc w:val="center"/>
        </w:trPr>
        <w:tc>
          <w:tcPr>
            <w:tcW w:w="510" w:type="dxa"/>
            <w:vMerge w:val="continue"/>
            <w:tcMar>
              <w:top w:w="15" w:type="dxa"/>
              <w:left w:w="15" w:type="dxa"/>
              <w:right w:w="15" w:type="dxa"/>
            </w:tcMar>
            <w:vAlign w:val="center"/>
          </w:tcPr>
          <w:p>
            <w:pPr>
              <w:jc w:val="center"/>
              <w:rPr>
                <w:rFonts w:hint="eastAsia" w:ascii="仿宋_GB2312" w:eastAsia="仿宋_GB2312"/>
                <w:color w:val="000000"/>
                <w:sz w:val="22"/>
              </w:rPr>
            </w:pPr>
          </w:p>
        </w:tc>
        <w:tc>
          <w:tcPr>
            <w:tcW w:w="1026"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134"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统计数据</w:t>
            </w:r>
          </w:p>
        </w:tc>
        <w:tc>
          <w:tcPr>
            <w:tcW w:w="4111"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学校年度统计数据，包括但不限于在校生数据、教师数据、办学条件数据等；学校年度质量报告。</w:t>
            </w:r>
          </w:p>
        </w:tc>
        <w:tc>
          <w:tcPr>
            <w:tcW w:w="1694"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信息形成或者变更之日起20个工作日内</w:t>
            </w:r>
          </w:p>
        </w:tc>
        <w:tc>
          <w:tcPr>
            <w:tcW w:w="1125"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中等职业学校</w:t>
            </w:r>
          </w:p>
        </w:tc>
        <w:tc>
          <w:tcPr>
            <w:tcW w:w="3360"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szCs w:val="22"/>
                <w:lang w:bidi="ar"/>
              </w:rPr>
              <w:t>学学校、主管部门或本级人民政府的网站、新媒体均可</w:t>
            </w:r>
          </w:p>
        </w:tc>
        <w:tc>
          <w:tcPr>
            <w:tcW w:w="780"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w:t>
            </w:r>
          </w:p>
        </w:tc>
        <w:tc>
          <w:tcPr>
            <w:tcW w:w="1065" w:type="dxa"/>
            <w:tcMar>
              <w:top w:w="15" w:type="dxa"/>
              <w:left w:w="15" w:type="dxa"/>
              <w:right w:w="15" w:type="dxa"/>
            </w:tcMar>
            <w:vAlign w:val="center"/>
          </w:tcPr>
          <w:p>
            <w:pPr>
              <w:jc w:val="center"/>
              <w:rPr>
                <w:rFonts w:hint="eastAsia" w:ascii="仿宋_GB2312" w:eastAsia="仿宋_GB2312"/>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3" w:hRule="atLeast"/>
          <w:jc w:val="center"/>
        </w:trPr>
        <w:tc>
          <w:tcPr>
            <w:tcW w:w="510" w:type="dxa"/>
            <w:vMerge w:val="restart"/>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3</w:t>
            </w:r>
          </w:p>
        </w:tc>
        <w:tc>
          <w:tcPr>
            <w:tcW w:w="1026" w:type="dxa"/>
            <w:vMerge w:val="restart"/>
            <w:tcMar>
              <w:top w:w="15" w:type="dxa"/>
              <w:left w:w="15" w:type="dxa"/>
              <w:right w:w="15" w:type="dxa"/>
            </w:tcMar>
            <w:vAlign w:val="center"/>
          </w:tcPr>
          <w:p>
            <w:pPr>
              <w:widowControl/>
              <w:jc w:val="center"/>
              <w:textAlignment w:val="center"/>
              <w:rPr>
                <w:rFonts w:hint="eastAsia" w:ascii="仿宋_GB2312" w:eastAsia="仿宋_GB2312"/>
                <w:b/>
                <w:color w:val="000000"/>
                <w:sz w:val="22"/>
              </w:rPr>
            </w:pPr>
            <w:r>
              <w:rPr>
                <w:rFonts w:hint="eastAsia" w:ascii="仿宋_GB2312" w:eastAsia="仿宋_GB2312"/>
                <w:b/>
                <w:color w:val="000000"/>
                <w:kern w:val="0"/>
                <w:sz w:val="22"/>
                <w:lang w:bidi="ar"/>
              </w:rPr>
              <w:t>财务信息</w:t>
            </w:r>
          </w:p>
        </w:tc>
        <w:tc>
          <w:tcPr>
            <w:tcW w:w="1134"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预决算信息</w:t>
            </w:r>
          </w:p>
        </w:tc>
        <w:tc>
          <w:tcPr>
            <w:tcW w:w="4111"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学校年度经费预算信息、决算信息。</w:t>
            </w:r>
          </w:p>
        </w:tc>
        <w:tc>
          <w:tcPr>
            <w:tcW w:w="1694"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信息形成或者变更之日起20个工作日内</w:t>
            </w:r>
          </w:p>
        </w:tc>
        <w:tc>
          <w:tcPr>
            <w:tcW w:w="1125"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中等职业学校（民办学校除外）</w:t>
            </w:r>
          </w:p>
        </w:tc>
        <w:tc>
          <w:tcPr>
            <w:tcW w:w="3360"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szCs w:val="22"/>
                <w:lang w:bidi="ar"/>
              </w:rPr>
              <w:t>学校网站、主管部门网站或本级人民学校、主管部门或本级人民政府的网站、新媒体均可</w:t>
            </w:r>
          </w:p>
        </w:tc>
        <w:tc>
          <w:tcPr>
            <w:tcW w:w="780"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w:t>
            </w:r>
          </w:p>
        </w:tc>
        <w:tc>
          <w:tcPr>
            <w:tcW w:w="1065" w:type="dxa"/>
            <w:tcMar>
              <w:top w:w="15" w:type="dxa"/>
              <w:left w:w="15" w:type="dxa"/>
              <w:right w:w="15" w:type="dxa"/>
            </w:tcMar>
            <w:vAlign w:val="center"/>
          </w:tcPr>
          <w:p>
            <w:pPr>
              <w:jc w:val="center"/>
              <w:rPr>
                <w:rFonts w:hint="eastAsia" w:ascii="仿宋_GB2312" w:eastAsia="仿宋_GB2312"/>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0" w:hRule="atLeast"/>
          <w:jc w:val="center"/>
        </w:trPr>
        <w:tc>
          <w:tcPr>
            <w:tcW w:w="510" w:type="dxa"/>
            <w:vMerge w:val="continue"/>
            <w:tcMar>
              <w:top w:w="15" w:type="dxa"/>
              <w:left w:w="15" w:type="dxa"/>
              <w:right w:w="15" w:type="dxa"/>
            </w:tcMar>
            <w:vAlign w:val="center"/>
          </w:tcPr>
          <w:p>
            <w:pPr>
              <w:jc w:val="center"/>
              <w:rPr>
                <w:rFonts w:hint="eastAsia" w:ascii="仿宋_GB2312" w:eastAsia="仿宋_GB2312"/>
                <w:color w:val="000000"/>
                <w:sz w:val="22"/>
              </w:rPr>
            </w:pPr>
          </w:p>
        </w:tc>
        <w:tc>
          <w:tcPr>
            <w:tcW w:w="1026"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134"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采购信息</w:t>
            </w:r>
          </w:p>
        </w:tc>
        <w:tc>
          <w:tcPr>
            <w:tcW w:w="4111"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大宗物资采购信息和重大基建工程招投标信息。</w:t>
            </w:r>
          </w:p>
        </w:tc>
        <w:tc>
          <w:tcPr>
            <w:tcW w:w="1694"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信息形成或者变更之日起20个工作日内</w:t>
            </w:r>
          </w:p>
        </w:tc>
        <w:tc>
          <w:tcPr>
            <w:tcW w:w="1125"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中等职业学校（民办学校除外）</w:t>
            </w:r>
          </w:p>
        </w:tc>
        <w:tc>
          <w:tcPr>
            <w:tcW w:w="3360"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szCs w:val="22"/>
                <w:lang w:bidi="ar"/>
              </w:rPr>
              <w:t>学校、主管部门或本级人民政府的网站、新媒体均可</w:t>
            </w:r>
          </w:p>
        </w:tc>
        <w:tc>
          <w:tcPr>
            <w:tcW w:w="780"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w:t>
            </w:r>
          </w:p>
        </w:tc>
        <w:tc>
          <w:tcPr>
            <w:tcW w:w="1065" w:type="dxa"/>
            <w:tcMar>
              <w:top w:w="15" w:type="dxa"/>
              <w:left w:w="15" w:type="dxa"/>
              <w:right w:w="15" w:type="dxa"/>
            </w:tcMar>
            <w:vAlign w:val="center"/>
          </w:tcPr>
          <w:p>
            <w:pPr>
              <w:jc w:val="center"/>
              <w:rPr>
                <w:rFonts w:hint="eastAsia" w:ascii="仿宋_GB2312" w:eastAsia="仿宋_GB2312"/>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7" w:hRule="atLeast"/>
          <w:jc w:val="center"/>
        </w:trPr>
        <w:tc>
          <w:tcPr>
            <w:tcW w:w="510" w:type="dxa"/>
            <w:vMerge w:val="continue"/>
            <w:tcMar>
              <w:top w:w="15" w:type="dxa"/>
              <w:left w:w="15" w:type="dxa"/>
              <w:right w:w="15" w:type="dxa"/>
            </w:tcMar>
            <w:vAlign w:val="center"/>
          </w:tcPr>
          <w:p>
            <w:pPr>
              <w:jc w:val="center"/>
              <w:rPr>
                <w:rFonts w:hint="eastAsia" w:ascii="仿宋_GB2312" w:eastAsia="仿宋_GB2312"/>
                <w:color w:val="000000"/>
                <w:sz w:val="22"/>
              </w:rPr>
            </w:pPr>
          </w:p>
        </w:tc>
        <w:tc>
          <w:tcPr>
            <w:tcW w:w="1026"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134"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收费信息</w:t>
            </w:r>
          </w:p>
        </w:tc>
        <w:tc>
          <w:tcPr>
            <w:tcW w:w="4111"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学校的收费（含代收费）项目、收费标准和收费依据。</w:t>
            </w:r>
          </w:p>
        </w:tc>
        <w:tc>
          <w:tcPr>
            <w:tcW w:w="1694"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信息形成或者变更之日起20个工作日内</w:t>
            </w:r>
          </w:p>
        </w:tc>
        <w:tc>
          <w:tcPr>
            <w:tcW w:w="1125"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中等职业学校</w:t>
            </w:r>
          </w:p>
        </w:tc>
        <w:tc>
          <w:tcPr>
            <w:tcW w:w="3360"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szCs w:val="22"/>
                <w:lang w:bidi="ar"/>
              </w:rPr>
              <w:t>学校、主管部门或本级人民政府的网站、新媒体均可</w:t>
            </w:r>
          </w:p>
        </w:tc>
        <w:tc>
          <w:tcPr>
            <w:tcW w:w="780"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w:t>
            </w:r>
          </w:p>
        </w:tc>
        <w:tc>
          <w:tcPr>
            <w:tcW w:w="1065" w:type="dxa"/>
            <w:tcMar>
              <w:top w:w="15" w:type="dxa"/>
              <w:left w:w="15" w:type="dxa"/>
              <w:right w:w="15" w:type="dxa"/>
            </w:tcMar>
            <w:vAlign w:val="center"/>
          </w:tcPr>
          <w:p>
            <w:pPr>
              <w:jc w:val="center"/>
              <w:rPr>
                <w:rFonts w:hint="eastAsia" w:ascii="仿宋_GB2312" w:eastAsia="仿宋_GB2312"/>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9" w:hRule="atLeast"/>
          <w:jc w:val="center"/>
        </w:trPr>
        <w:tc>
          <w:tcPr>
            <w:tcW w:w="510" w:type="dxa"/>
            <w:vMerge w:val="restart"/>
            <w:tcMar>
              <w:top w:w="15" w:type="dxa"/>
              <w:left w:w="15" w:type="dxa"/>
              <w:right w:w="15" w:type="dxa"/>
            </w:tcMar>
            <w:vAlign w:val="center"/>
          </w:tcPr>
          <w:p>
            <w:pPr>
              <w:widowControl/>
              <w:jc w:val="center"/>
              <w:textAlignment w:val="center"/>
              <w:rPr>
                <w:rFonts w:hint="eastAsia" w:ascii="仿宋_GB2312" w:eastAsia="仿宋_GB2312"/>
                <w:b/>
                <w:color w:val="000000"/>
                <w:sz w:val="22"/>
              </w:rPr>
            </w:pPr>
            <w:r>
              <w:rPr>
                <w:rFonts w:hint="eastAsia" w:ascii="仿宋_GB2312" w:eastAsia="仿宋_GB2312"/>
                <w:b/>
                <w:color w:val="000000"/>
                <w:kern w:val="0"/>
                <w:sz w:val="22"/>
                <w:lang w:bidi="ar"/>
              </w:rPr>
              <w:t>4</w:t>
            </w:r>
          </w:p>
        </w:tc>
        <w:tc>
          <w:tcPr>
            <w:tcW w:w="1026" w:type="dxa"/>
            <w:vMerge w:val="restart"/>
            <w:tcMar>
              <w:top w:w="15" w:type="dxa"/>
              <w:left w:w="15" w:type="dxa"/>
              <w:right w:w="15" w:type="dxa"/>
            </w:tcMar>
            <w:vAlign w:val="center"/>
          </w:tcPr>
          <w:p>
            <w:pPr>
              <w:widowControl/>
              <w:jc w:val="center"/>
              <w:textAlignment w:val="center"/>
              <w:rPr>
                <w:rFonts w:hint="eastAsia" w:ascii="仿宋_GB2312" w:eastAsia="仿宋_GB2312"/>
                <w:b/>
                <w:color w:val="000000"/>
                <w:sz w:val="22"/>
              </w:rPr>
            </w:pPr>
            <w:r>
              <w:rPr>
                <w:rFonts w:hint="eastAsia" w:ascii="仿宋_GB2312" w:eastAsia="仿宋_GB2312"/>
                <w:b/>
                <w:color w:val="000000"/>
                <w:kern w:val="0"/>
                <w:sz w:val="22"/>
                <w:lang w:bidi="ar"/>
              </w:rPr>
              <w:t>招生就业</w:t>
            </w:r>
          </w:p>
        </w:tc>
        <w:tc>
          <w:tcPr>
            <w:tcW w:w="1134"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招生信息</w:t>
            </w:r>
          </w:p>
        </w:tc>
        <w:tc>
          <w:tcPr>
            <w:tcW w:w="4111"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招生范围、招生计划、招生程序、招生条件、咨询电话、资助途径。</w:t>
            </w:r>
          </w:p>
        </w:tc>
        <w:tc>
          <w:tcPr>
            <w:tcW w:w="1694"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信息形成或者变更之日起20个工作日内</w:t>
            </w:r>
          </w:p>
        </w:tc>
        <w:tc>
          <w:tcPr>
            <w:tcW w:w="1125"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中等职业学校</w:t>
            </w:r>
          </w:p>
        </w:tc>
        <w:tc>
          <w:tcPr>
            <w:tcW w:w="3360"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szCs w:val="22"/>
                <w:lang w:bidi="ar"/>
              </w:rPr>
              <w:t>学校、主管部门或本级人民政府的网站、新媒体均可</w:t>
            </w:r>
          </w:p>
        </w:tc>
        <w:tc>
          <w:tcPr>
            <w:tcW w:w="780"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w:t>
            </w:r>
          </w:p>
        </w:tc>
        <w:tc>
          <w:tcPr>
            <w:tcW w:w="1065" w:type="dxa"/>
            <w:tcMar>
              <w:top w:w="15" w:type="dxa"/>
              <w:left w:w="15" w:type="dxa"/>
              <w:right w:w="15" w:type="dxa"/>
            </w:tcMar>
            <w:vAlign w:val="center"/>
          </w:tcPr>
          <w:p>
            <w:pPr>
              <w:jc w:val="center"/>
              <w:rPr>
                <w:rFonts w:hint="eastAsia" w:ascii="仿宋_GB2312" w:eastAsia="仿宋_GB2312"/>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9" w:hRule="atLeast"/>
          <w:jc w:val="center"/>
        </w:trPr>
        <w:tc>
          <w:tcPr>
            <w:tcW w:w="510"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026"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134"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录取信息</w:t>
            </w:r>
          </w:p>
        </w:tc>
        <w:tc>
          <w:tcPr>
            <w:tcW w:w="4111"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录取新生信息。</w:t>
            </w:r>
          </w:p>
        </w:tc>
        <w:tc>
          <w:tcPr>
            <w:tcW w:w="1694"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信息形成或者变更之日起3个工作日内</w:t>
            </w:r>
          </w:p>
        </w:tc>
        <w:tc>
          <w:tcPr>
            <w:tcW w:w="1125"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中等职业学校</w:t>
            </w:r>
          </w:p>
        </w:tc>
        <w:tc>
          <w:tcPr>
            <w:tcW w:w="3360"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szCs w:val="22"/>
                <w:lang w:bidi="ar"/>
              </w:rPr>
              <w:t>方便所有报名的学生和家长及时、便捷的获取信息的渠道和载体，比如网站查询，新媒体查询，短信通知，电话通知，张榜公布等</w:t>
            </w:r>
          </w:p>
        </w:tc>
        <w:tc>
          <w:tcPr>
            <w:tcW w:w="780" w:type="dxa"/>
            <w:tcMar>
              <w:top w:w="15" w:type="dxa"/>
              <w:left w:w="15" w:type="dxa"/>
              <w:right w:w="15" w:type="dxa"/>
            </w:tcMar>
            <w:vAlign w:val="center"/>
          </w:tcPr>
          <w:p>
            <w:pPr>
              <w:jc w:val="center"/>
              <w:rPr>
                <w:rFonts w:hint="eastAsia" w:ascii="仿宋_GB2312" w:eastAsia="仿宋_GB2312"/>
                <w:color w:val="000000"/>
                <w:sz w:val="22"/>
              </w:rPr>
            </w:pPr>
          </w:p>
        </w:tc>
        <w:tc>
          <w:tcPr>
            <w:tcW w:w="1065"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所有报名的学生和家长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9" w:hRule="atLeast"/>
          <w:jc w:val="center"/>
        </w:trPr>
        <w:tc>
          <w:tcPr>
            <w:tcW w:w="510"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026"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134"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就业信息</w:t>
            </w:r>
          </w:p>
        </w:tc>
        <w:tc>
          <w:tcPr>
            <w:tcW w:w="4111"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就业指导服务信息；每届毕业生的规模、结构、去向、就业率等信息。</w:t>
            </w:r>
          </w:p>
        </w:tc>
        <w:tc>
          <w:tcPr>
            <w:tcW w:w="1694"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信息形成或者变更之日起20个工作日内</w:t>
            </w:r>
          </w:p>
        </w:tc>
        <w:tc>
          <w:tcPr>
            <w:tcW w:w="1125"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中等职业学校</w:t>
            </w:r>
          </w:p>
        </w:tc>
        <w:tc>
          <w:tcPr>
            <w:tcW w:w="3360"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szCs w:val="22"/>
                <w:lang w:bidi="ar"/>
              </w:rPr>
              <w:t>学校、主管部门或本级人民政府的网站、新媒体均可</w:t>
            </w:r>
          </w:p>
        </w:tc>
        <w:tc>
          <w:tcPr>
            <w:tcW w:w="780"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w:t>
            </w:r>
          </w:p>
        </w:tc>
        <w:tc>
          <w:tcPr>
            <w:tcW w:w="1065" w:type="dxa"/>
            <w:tcMar>
              <w:top w:w="15" w:type="dxa"/>
              <w:left w:w="15" w:type="dxa"/>
              <w:right w:w="15" w:type="dxa"/>
            </w:tcMar>
            <w:vAlign w:val="center"/>
          </w:tcPr>
          <w:p>
            <w:pPr>
              <w:jc w:val="center"/>
              <w:rPr>
                <w:rFonts w:hint="eastAsia" w:ascii="仿宋_GB2312" w:eastAsia="仿宋_GB2312"/>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9" w:hRule="atLeast"/>
          <w:jc w:val="center"/>
        </w:trPr>
        <w:tc>
          <w:tcPr>
            <w:tcW w:w="510" w:type="dxa"/>
            <w:vMerge w:val="restart"/>
            <w:tcMar>
              <w:top w:w="15" w:type="dxa"/>
              <w:left w:w="15" w:type="dxa"/>
              <w:right w:w="15" w:type="dxa"/>
            </w:tcMar>
            <w:vAlign w:val="center"/>
          </w:tcPr>
          <w:p>
            <w:pPr>
              <w:widowControl/>
              <w:jc w:val="center"/>
              <w:textAlignment w:val="center"/>
              <w:rPr>
                <w:rFonts w:hint="eastAsia" w:ascii="仿宋_GB2312" w:eastAsia="仿宋_GB2312"/>
                <w:b/>
                <w:color w:val="000000"/>
                <w:sz w:val="22"/>
              </w:rPr>
            </w:pPr>
            <w:r>
              <w:rPr>
                <w:rFonts w:hint="eastAsia" w:ascii="仿宋_GB2312" w:eastAsia="仿宋_GB2312"/>
                <w:b/>
                <w:color w:val="000000"/>
                <w:kern w:val="0"/>
                <w:sz w:val="22"/>
                <w:lang w:bidi="ar"/>
              </w:rPr>
              <w:t>5</w:t>
            </w:r>
          </w:p>
        </w:tc>
        <w:tc>
          <w:tcPr>
            <w:tcW w:w="1026" w:type="dxa"/>
            <w:vMerge w:val="restart"/>
            <w:tcMar>
              <w:top w:w="15" w:type="dxa"/>
              <w:left w:w="15" w:type="dxa"/>
              <w:right w:w="15" w:type="dxa"/>
            </w:tcMar>
            <w:vAlign w:val="center"/>
          </w:tcPr>
          <w:p>
            <w:pPr>
              <w:widowControl/>
              <w:jc w:val="center"/>
              <w:textAlignment w:val="center"/>
              <w:rPr>
                <w:rFonts w:hint="eastAsia" w:ascii="仿宋_GB2312" w:eastAsia="仿宋_GB2312"/>
                <w:b/>
                <w:color w:val="000000"/>
                <w:sz w:val="22"/>
              </w:rPr>
            </w:pPr>
            <w:r>
              <w:rPr>
                <w:rFonts w:hint="eastAsia" w:ascii="仿宋_GB2312" w:eastAsia="仿宋_GB2312"/>
                <w:b/>
                <w:color w:val="000000"/>
                <w:kern w:val="0"/>
                <w:sz w:val="22"/>
                <w:lang w:bidi="ar"/>
              </w:rPr>
              <w:t>教育教学</w:t>
            </w:r>
          </w:p>
        </w:tc>
        <w:tc>
          <w:tcPr>
            <w:tcW w:w="1134"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教学教研</w:t>
            </w:r>
          </w:p>
        </w:tc>
        <w:tc>
          <w:tcPr>
            <w:tcW w:w="4111"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专业设置与专业建设信息；教学计划、教学活动等信息；教学研究活动、成果等信息。</w:t>
            </w:r>
          </w:p>
        </w:tc>
        <w:tc>
          <w:tcPr>
            <w:tcW w:w="1694"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信息形成或者变更之日起20个工作日内</w:t>
            </w:r>
          </w:p>
        </w:tc>
        <w:tc>
          <w:tcPr>
            <w:tcW w:w="1125"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中等职业学校</w:t>
            </w:r>
          </w:p>
        </w:tc>
        <w:tc>
          <w:tcPr>
            <w:tcW w:w="3360"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szCs w:val="22"/>
                <w:lang w:bidi="ar"/>
              </w:rPr>
              <w:t>学校、主管部门或本级人民政府的网站、新媒体均可</w:t>
            </w:r>
          </w:p>
        </w:tc>
        <w:tc>
          <w:tcPr>
            <w:tcW w:w="780"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w:t>
            </w:r>
          </w:p>
        </w:tc>
        <w:tc>
          <w:tcPr>
            <w:tcW w:w="1065" w:type="dxa"/>
            <w:tcMar>
              <w:top w:w="15" w:type="dxa"/>
              <w:left w:w="15" w:type="dxa"/>
              <w:right w:w="15" w:type="dxa"/>
            </w:tcMar>
            <w:vAlign w:val="center"/>
          </w:tcPr>
          <w:p>
            <w:pPr>
              <w:jc w:val="center"/>
              <w:rPr>
                <w:rFonts w:hint="eastAsia" w:ascii="仿宋_GB2312" w:eastAsia="仿宋_GB2312"/>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9" w:hRule="atLeast"/>
          <w:jc w:val="center"/>
        </w:trPr>
        <w:tc>
          <w:tcPr>
            <w:tcW w:w="510"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026"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134"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实习实训</w:t>
            </w:r>
          </w:p>
        </w:tc>
        <w:tc>
          <w:tcPr>
            <w:tcW w:w="4111"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 xml:space="preserve">实习实训信息。 </w:t>
            </w:r>
          </w:p>
        </w:tc>
        <w:tc>
          <w:tcPr>
            <w:tcW w:w="1694"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信息形成或者变更之日起20个工作日内</w:t>
            </w:r>
          </w:p>
        </w:tc>
        <w:tc>
          <w:tcPr>
            <w:tcW w:w="1125"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中等职业学校</w:t>
            </w:r>
          </w:p>
        </w:tc>
        <w:tc>
          <w:tcPr>
            <w:tcW w:w="3360"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szCs w:val="22"/>
                <w:lang w:bidi="ar"/>
              </w:rPr>
              <w:t>学校、主管部门或本级人民政府的网站、新媒体均可</w:t>
            </w:r>
          </w:p>
        </w:tc>
        <w:tc>
          <w:tcPr>
            <w:tcW w:w="780"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w:t>
            </w:r>
          </w:p>
        </w:tc>
        <w:tc>
          <w:tcPr>
            <w:tcW w:w="1065" w:type="dxa"/>
            <w:tcMar>
              <w:top w:w="15" w:type="dxa"/>
              <w:left w:w="15" w:type="dxa"/>
              <w:right w:w="15" w:type="dxa"/>
            </w:tcMar>
            <w:vAlign w:val="center"/>
          </w:tcPr>
          <w:p>
            <w:pPr>
              <w:jc w:val="center"/>
              <w:rPr>
                <w:rFonts w:hint="eastAsia" w:ascii="仿宋_GB2312" w:eastAsia="仿宋_GB2312"/>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9" w:hRule="atLeast"/>
          <w:jc w:val="center"/>
        </w:trPr>
        <w:tc>
          <w:tcPr>
            <w:tcW w:w="510"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026"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134" w:type="dxa"/>
            <w:tcMar>
              <w:top w:w="15" w:type="dxa"/>
              <w:left w:w="15" w:type="dxa"/>
              <w:right w:w="15" w:type="dxa"/>
            </w:tcMar>
            <w:vAlign w:val="center"/>
          </w:tcPr>
          <w:p>
            <w:pPr>
              <w:widowControl/>
              <w:jc w:val="center"/>
              <w:textAlignment w:val="center"/>
              <w:rPr>
                <w:rFonts w:hint="eastAsia" w:ascii="仿宋_GB2312" w:eastAsia="仿宋_GB2312"/>
                <w:color w:val="000000"/>
                <w:kern w:val="0"/>
                <w:sz w:val="22"/>
                <w:lang w:bidi="ar"/>
              </w:rPr>
            </w:pPr>
            <w:r>
              <w:rPr>
                <w:rFonts w:hint="eastAsia" w:ascii="仿宋_GB2312" w:eastAsia="仿宋_GB2312"/>
                <w:color w:val="000000"/>
                <w:kern w:val="0"/>
                <w:sz w:val="22"/>
                <w:lang w:bidi="ar"/>
              </w:rPr>
              <w:t>校企合作</w:t>
            </w:r>
          </w:p>
        </w:tc>
        <w:tc>
          <w:tcPr>
            <w:tcW w:w="4111" w:type="dxa"/>
            <w:tcMar>
              <w:top w:w="15" w:type="dxa"/>
              <w:left w:w="15" w:type="dxa"/>
              <w:right w:w="15" w:type="dxa"/>
            </w:tcMar>
            <w:vAlign w:val="center"/>
          </w:tcPr>
          <w:p>
            <w:pPr>
              <w:widowControl/>
              <w:jc w:val="left"/>
              <w:textAlignment w:val="center"/>
              <w:rPr>
                <w:rFonts w:hint="eastAsia" w:ascii="仿宋_GB2312" w:eastAsia="仿宋_GB2312"/>
                <w:color w:val="000000"/>
                <w:kern w:val="0"/>
                <w:sz w:val="22"/>
                <w:lang w:bidi="ar"/>
              </w:rPr>
            </w:pPr>
            <w:r>
              <w:rPr>
                <w:rFonts w:hint="eastAsia" w:ascii="仿宋_GB2312" w:eastAsia="仿宋_GB2312"/>
                <w:color w:val="000000"/>
                <w:kern w:val="0"/>
                <w:sz w:val="22"/>
                <w:lang w:bidi="ar"/>
              </w:rPr>
              <w:t>校企合作与产教融合信息。</w:t>
            </w:r>
          </w:p>
        </w:tc>
        <w:tc>
          <w:tcPr>
            <w:tcW w:w="1694" w:type="dxa"/>
            <w:tcMar>
              <w:top w:w="15" w:type="dxa"/>
              <w:left w:w="15" w:type="dxa"/>
              <w:right w:w="15" w:type="dxa"/>
            </w:tcMar>
            <w:vAlign w:val="center"/>
          </w:tcPr>
          <w:p>
            <w:pPr>
              <w:widowControl/>
              <w:jc w:val="left"/>
              <w:textAlignment w:val="center"/>
              <w:rPr>
                <w:rFonts w:hint="eastAsia" w:ascii="仿宋_GB2312" w:eastAsia="仿宋_GB2312"/>
                <w:color w:val="000000"/>
                <w:kern w:val="0"/>
                <w:sz w:val="22"/>
                <w:lang w:bidi="ar"/>
              </w:rPr>
            </w:pPr>
            <w:r>
              <w:rPr>
                <w:rFonts w:hint="eastAsia" w:ascii="仿宋_GB2312" w:eastAsia="仿宋_GB2312"/>
                <w:color w:val="000000"/>
                <w:kern w:val="0"/>
                <w:sz w:val="22"/>
                <w:lang w:bidi="ar"/>
              </w:rPr>
              <w:t>信息形成或者变更之日起20个工作日内</w:t>
            </w:r>
          </w:p>
        </w:tc>
        <w:tc>
          <w:tcPr>
            <w:tcW w:w="1125" w:type="dxa"/>
            <w:tcMar>
              <w:top w:w="15" w:type="dxa"/>
              <w:left w:w="15" w:type="dxa"/>
              <w:right w:w="15" w:type="dxa"/>
            </w:tcMar>
            <w:vAlign w:val="center"/>
          </w:tcPr>
          <w:p>
            <w:pPr>
              <w:widowControl/>
              <w:jc w:val="left"/>
              <w:textAlignment w:val="center"/>
              <w:rPr>
                <w:rFonts w:hint="eastAsia" w:ascii="仿宋_GB2312" w:eastAsia="仿宋_GB2312"/>
                <w:color w:val="000000"/>
                <w:kern w:val="0"/>
                <w:sz w:val="22"/>
                <w:lang w:bidi="ar"/>
              </w:rPr>
            </w:pPr>
            <w:r>
              <w:rPr>
                <w:rFonts w:hint="eastAsia" w:ascii="仿宋_GB2312" w:eastAsia="仿宋_GB2312"/>
                <w:color w:val="000000"/>
                <w:kern w:val="0"/>
                <w:sz w:val="22"/>
                <w:lang w:bidi="ar"/>
              </w:rPr>
              <w:t>中等职业学校</w:t>
            </w:r>
          </w:p>
        </w:tc>
        <w:tc>
          <w:tcPr>
            <w:tcW w:w="3360" w:type="dxa"/>
            <w:tcMar>
              <w:top w:w="15" w:type="dxa"/>
              <w:left w:w="15" w:type="dxa"/>
              <w:right w:w="15" w:type="dxa"/>
            </w:tcMar>
            <w:vAlign w:val="center"/>
          </w:tcPr>
          <w:p>
            <w:pPr>
              <w:widowControl/>
              <w:jc w:val="left"/>
              <w:textAlignment w:val="center"/>
              <w:rPr>
                <w:rFonts w:hint="eastAsia" w:ascii="仿宋_GB2312" w:eastAsia="仿宋_GB2312"/>
                <w:color w:val="000000"/>
                <w:kern w:val="0"/>
                <w:sz w:val="22"/>
                <w:lang w:bidi="ar"/>
              </w:rPr>
            </w:pPr>
            <w:r>
              <w:rPr>
                <w:rFonts w:hint="eastAsia" w:ascii="仿宋_GB2312" w:eastAsia="仿宋_GB2312"/>
                <w:color w:val="000000"/>
                <w:kern w:val="0"/>
                <w:sz w:val="22"/>
                <w:szCs w:val="22"/>
                <w:lang w:bidi="ar"/>
              </w:rPr>
              <w:t>学校、主管部门或本级人民政府的网站、新媒体均可</w:t>
            </w:r>
          </w:p>
        </w:tc>
        <w:tc>
          <w:tcPr>
            <w:tcW w:w="780" w:type="dxa"/>
            <w:tcMar>
              <w:top w:w="15" w:type="dxa"/>
              <w:left w:w="15" w:type="dxa"/>
              <w:right w:w="15" w:type="dxa"/>
            </w:tcMar>
            <w:vAlign w:val="center"/>
          </w:tcPr>
          <w:p>
            <w:pPr>
              <w:widowControl/>
              <w:jc w:val="center"/>
              <w:textAlignment w:val="center"/>
              <w:rPr>
                <w:rFonts w:hint="eastAsia" w:ascii="仿宋_GB2312" w:eastAsia="仿宋_GB2312"/>
                <w:color w:val="000000"/>
                <w:kern w:val="0"/>
                <w:sz w:val="22"/>
                <w:lang w:bidi="ar"/>
              </w:rPr>
            </w:pPr>
          </w:p>
        </w:tc>
        <w:tc>
          <w:tcPr>
            <w:tcW w:w="1065" w:type="dxa"/>
            <w:tcMar>
              <w:top w:w="15" w:type="dxa"/>
              <w:left w:w="15" w:type="dxa"/>
              <w:right w:w="15" w:type="dxa"/>
            </w:tcMar>
            <w:vAlign w:val="center"/>
          </w:tcPr>
          <w:p>
            <w:pPr>
              <w:jc w:val="center"/>
              <w:rPr>
                <w:rFonts w:hint="eastAsia" w:ascii="仿宋_GB2312" w:eastAsia="仿宋_GB2312"/>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0" w:hRule="atLeast"/>
          <w:jc w:val="center"/>
        </w:trPr>
        <w:tc>
          <w:tcPr>
            <w:tcW w:w="510" w:type="dxa"/>
            <w:vMerge w:val="restart"/>
            <w:tcMar>
              <w:top w:w="15" w:type="dxa"/>
              <w:left w:w="15" w:type="dxa"/>
              <w:right w:w="15" w:type="dxa"/>
            </w:tcMar>
            <w:vAlign w:val="center"/>
          </w:tcPr>
          <w:p>
            <w:pPr>
              <w:widowControl/>
              <w:jc w:val="center"/>
              <w:textAlignment w:val="center"/>
              <w:rPr>
                <w:rFonts w:hint="eastAsia" w:ascii="仿宋_GB2312" w:eastAsia="仿宋_GB2312"/>
                <w:b/>
                <w:color w:val="000000"/>
                <w:sz w:val="22"/>
              </w:rPr>
            </w:pPr>
            <w:r>
              <w:rPr>
                <w:rFonts w:hint="eastAsia" w:ascii="仿宋_GB2312" w:eastAsia="仿宋_GB2312"/>
                <w:b/>
                <w:color w:val="000000"/>
                <w:kern w:val="0"/>
                <w:sz w:val="22"/>
                <w:lang w:bidi="ar"/>
              </w:rPr>
              <w:t>6</w:t>
            </w:r>
          </w:p>
        </w:tc>
        <w:tc>
          <w:tcPr>
            <w:tcW w:w="1026" w:type="dxa"/>
            <w:vMerge w:val="restart"/>
            <w:tcMar>
              <w:top w:w="15" w:type="dxa"/>
              <w:left w:w="15" w:type="dxa"/>
              <w:right w:w="15" w:type="dxa"/>
            </w:tcMar>
            <w:vAlign w:val="center"/>
          </w:tcPr>
          <w:p>
            <w:pPr>
              <w:widowControl/>
              <w:jc w:val="center"/>
              <w:textAlignment w:val="center"/>
              <w:rPr>
                <w:rFonts w:hint="eastAsia" w:ascii="仿宋_GB2312" w:eastAsia="仿宋_GB2312"/>
                <w:b/>
                <w:color w:val="000000"/>
                <w:sz w:val="22"/>
              </w:rPr>
            </w:pPr>
            <w:r>
              <w:rPr>
                <w:rFonts w:hint="eastAsia" w:ascii="仿宋_GB2312" w:eastAsia="仿宋_GB2312"/>
                <w:b/>
                <w:color w:val="000000"/>
                <w:kern w:val="0"/>
                <w:sz w:val="22"/>
                <w:lang w:bidi="ar"/>
              </w:rPr>
              <w:t>教师管理</w:t>
            </w:r>
          </w:p>
        </w:tc>
        <w:tc>
          <w:tcPr>
            <w:tcW w:w="1134"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教师招聘</w:t>
            </w:r>
          </w:p>
        </w:tc>
        <w:tc>
          <w:tcPr>
            <w:tcW w:w="4111"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本校的教师招聘计划；拟聘用人员名单等。</w:t>
            </w:r>
          </w:p>
        </w:tc>
        <w:tc>
          <w:tcPr>
            <w:tcW w:w="1694"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信息形成或者变更之日起20个工作日内</w:t>
            </w:r>
          </w:p>
        </w:tc>
        <w:tc>
          <w:tcPr>
            <w:tcW w:w="1125"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中等职业学校</w:t>
            </w:r>
          </w:p>
        </w:tc>
        <w:tc>
          <w:tcPr>
            <w:tcW w:w="3360"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szCs w:val="22"/>
                <w:lang w:bidi="ar"/>
              </w:rPr>
              <w:t>学校、主管部门或本级人民政府的网站、新媒体均可</w:t>
            </w:r>
          </w:p>
        </w:tc>
        <w:tc>
          <w:tcPr>
            <w:tcW w:w="780"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w:t>
            </w:r>
          </w:p>
        </w:tc>
        <w:tc>
          <w:tcPr>
            <w:tcW w:w="1065" w:type="dxa"/>
            <w:tcMar>
              <w:top w:w="15" w:type="dxa"/>
              <w:left w:w="15" w:type="dxa"/>
              <w:right w:w="15" w:type="dxa"/>
            </w:tcMar>
            <w:vAlign w:val="center"/>
          </w:tcPr>
          <w:p>
            <w:pPr>
              <w:jc w:val="center"/>
              <w:rPr>
                <w:rFonts w:hint="eastAsia" w:ascii="仿宋_GB2312" w:eastAsia="仿宋_GB2312"/>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0" w:hRule="atLeast"/>
          <w:jc w:val="center"/>
        </w:trPr>
        <w:tc>
          <w:tcPr>
            <w:tcW w:w="510"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026"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134"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评先树优</w:t>
            </w:r>
          </w:p>
        </w:tc>
        <w:tc>
          <w:tcPr>
            <w:tcW w:w="4111" w:type="dxa"/>
            <w:tcMar>
              <w:top w:w="15" w:type="dxa"/>
              <w:left w:w="15" w:type="dxa"/>
              <w:right w:w="15" w:type="dxa"/>
            </w:tcMar>
            <w:vAlign w:val="center"/>
          </w:tcPr>
          <w:p>
            <w:pPr>
              <w:widowControl/>
              <w:jc w:val="left"/>
              <w:textAlignment w:val="center"/>
              <w:rPr>
                <w:rFonts w:hint="eastAsia" w:ascii="仿宋_GB2312" w:eastAsia="仿宋_GB2312"/>
                <w:color w:val="FF0000"/>
                <w:sz w:val="22"/>
              </w:rPr>
            </w:pPr>
            <w:r>
              <w:rPr>
                <w:rFonts w:hint="eastAsia" w:ascii="仿宋_GB2312" w:eastAsia="仿宋_GB2312"/>
                <w:color w:val="000000"/>
                <w:kern w:val="0"/>
                <w:sz w:val="22"/>
                <w:lang w:bidi="ar"/>
              </w:rPr>
              <w:t>对教师</w:t>
            </w:r>
            <w:r>
              <w:rPr>
                <w:rFonts w:hint="eastAsia" w:ascii="仿宋_GB2312" w:eastAsia="仿宋_GB2312"/>
                <w:color w:val="000000"/>
                <w:kern w:val="0"/>
                <w:sz w:val="22"/>
                <w:szCs w:val="22"/>
                <w:lang w:bidi="ar"/>
              </w:rPr>
              <w:t>县级（含）以上</w:t>
            </w:r>
            <w:r>
              <w:rPr>
                <w:rFonts w:hint="eastAsia" w:ascii="仿宋_GB2312" w:eastAsia="仿宋_GB2312"/>
                <w:color w:val="000000"/>
                <w:kern w:val="0"/>
                <w:sz w:val="22"/>
                <w:lang w:bidi="ar"/>
              </w:rPr>
              <w:t>各类评先树优、表彰奖励等的拟推荐人员名单。</w:t>
            </w:r>
          </w:p>
        </w:tc>
        <w:tc>
          <w:tcPr>
            <w:tcW w:w="1694"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信息形成或者变更之日起20个工作日内</w:t>
            </w:r>
          </w:p>
        </w:tc>
        <w:tc>
          <w:tcPr>
            <w:tcW w:w="1125"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中等职业学校</w:t>
            </w:r>
          </w:p>
        </w:tc>
        <w:tc>
          <w:tcPr>
            <w:tcW w:w="3360"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szCs w:val="22"/>
                <w:lang w:bidi="ar"/>
              </w:rPr>
              <w:t>学校、主管部门或本级人民政府的网站、新媒体均可</w:t>
            </w:r>
          </w:p>
        </w:tc>
        <w:tc>
          <w:tcPr>
            <w:tcW w:w="780"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w:t>
            </w:r>
          </w:p>
        </w:tc>
        <w:tc>
          <w:tcPr>
            <w:tcW w:w="1065" w:type="dxa"/>
            <w:tcMar>
              <w:top w:w="15" w:type="dxa"/>
              <w:left w:w="15" w:type="dxa"/>
              <w:right w:w="15" w:type="dxa"/>
            </w:tcMar>
            <w:vAlign w:val="center"/>
          </w:tcPr>
          <w:p>
            <w:pPr>
              <w:jc w:val="center"/>
              <w:rPr>
                <w:rFonts w:hint="eastAsia" w:ascii="仿宋_GB2312" w:eastAsia="仿宋_GB2312"/>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0" w:hRule="atLeast"/>
          <w:jc w:val="center"/>
        </w:trPr>
        <w:tc>
          <w:tcPr>
            <w:tcW w:w="510" w:type="dxa"/>
            <w:vMerge w:val="restart"/>
            <w:tcMar>
              <w:top w:w="15" w:type="dxa"/>
              <w:left w:w="15" w:type="dxa"/>
              <w:right w:w="15" w:type="dxa"/>
            </w:tcMar>
            <w:vAlign w:val="center"/>
          </w:tcPr>
          <w:p>
            <w:pPr>
              <w:widowControl/>
              <w:jc w:val="center"/>
              <w:textAlignment w:val="center"/>
              <w:rPr>
                <w:rFonts w:hint="eastAsia" w:ascii="仿宋_GB2312" w:eastAsia="仿宋_GB2312"/>
                <w:b/>
                <w:color w:val="000000"/>
                <w:sz w:val="22"/>
              </w:rPr>
            </w:pPr>
            <w:r>
              <w:rPr>
                <w:rFonts w:hint="eastAsia" w:ascii="仿宋_GB2312" w:eastAsia="仿宋_GB2312"/>
                <w:b/>
                <w:color w:val="000000"/>
                <w:kern w:val="0"/>
                <w:sz w:val="22"/>
                <w:lang w:bidi="ar"/>
              </w:rPr>
              <w:t>7</w:t>
            </w:r>
          </w:p>
        </w:tc>
        <w:tc>
          <w:tcPr>
            <w:tcW w:w="1026" w:type="dxa"/>
            <w:vMerge w:val="restart"/>
            <w:tcMar>
              <w:top w:w="15" w:type="dxa"/>
              <w:left w:w="15" w:type="dxa"/>
              <w:right w:w="15" w:type="dxa"/>
            </w:tcMar>
            <w:vAlign w:val="center"/>
          </w:tcPr>
          <w:p>
            <w:pPr>
              <w:widowControl/>
              <w:jc w:val="center"/>
              <w:textAlignment w:val="center"/>
              <w:rPr>
                <w:rFonts w:hint="eastAsia" w:ascii="仿宋_GB2312" w:eastAsia="仿宋_GB2312"/>
                <w:b/>
                <w:color w:val="000000"/>
                <w:sz w:val="22"/>
              </w:rPr>
            </w:pPr>
            <w:r>
              <w:rPr>
                <w:rFonts w:hint="eastAsia" w:ascii="仿宋_GB2312" w:eastAsia="仿宋_GB2312"/>
                <w:b/>
                <w:color w:val="000000"/>
                <w:kern w:val="0"/>
                <w:sz w:val="22"/>
                <w:lang w:bidi="ar"/>
              </w:rPr>
              <w:t>学生管理</w:t>
            </w:r>
          </w:p>
        </w:tc>
        <w:tc>
          <w:tcPr>
            <w:tcW w:w="1134"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学生资助</w:t>
            </w:r>
          </w:p>
        </w:tc>
        <w:tc>
          <w:tcPr>
            <w:tcW w:w="4111"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适用于本校的学生资助政策、申请指南等</w:t>
            </w:r>
          </w:p>
        </w:tc>
        <w:tc>
          <w:tcPr>
            <w:tcW w:w="1694"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信息形成或者变更之日起20个工作日内</w:t>
            </w:r>
          </w:p>
        </w:tc>
        <w:tc>
          <w:tcPr>
            <w:tcW w:w="1125"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中等职业学校</w:t>
            </w:r>
          </w:p>
        </w:tc>
        <w:tc>
          <w:tcPr>
            <w:tcW w:w="3360"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szCs w:val="22"/>
                <w:lang w:bidi="ar"/>
              </w:rPr>
              <w:t>学校、主管部门或本级人民政府的网站、新媒体均可</w:t>
            </w:r>
          </w:p>
        </w:tc>
        <w:tc>
          <w:tcPr>
            <w:tcW w:w="780"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w:t>
            </w:r>
          </w:p>
        </w:tc>
        <w:tc>
          <w:tcPr>
            <w:tcW w:w="1065" w:type="dxa"/>
            <w:tcMar>
              <w:top w:w="15" w:type="dxa"/>
              <w:left w:w="15" w:type="dxa"/>
              <w:right w:w="15" w:type="dxa"/>
            </w:tcMar>
            <w:vAlign w:val="center"/>
          </w:tcPr>
          <w:p>
            <w:pPr>
              <w:jc w:val="center"/>
              <w:rPr>
                <w:rFonts w:hint="eastAsia" w:ascii="仿宋_GB2312" w:eastAsia="仿宋_GB2312"/>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0" w:hRule="atLeast"/>
          <w:jc w:val="center"/>
        </w:trPr>
        <w:tc>
          <w:tcPr>
            <w:tcW w:w="510"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026"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134"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评先树优</w:t>
            </w:r>
          </w:p>
        </w:tc>
        <w:tc>
          <w:tcPr>
            <w:tcW w:w="4111"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对学生</w:t>
            </w:r>
            <w:r>
              <w:rPr>
                <w:rFonts w:hint="eastAsia" w:ascii="仿宋_GB2312" w:eastAsia="仿宋_GB2312"/>
                <w:color w:val="000000"/>
                <w:kern w:val="0"/>
                <w:sz w:val="22"/>
                <w:szCs w:val="22"/>
                <w:lang w:bidi="ar"/>
              </w:rPr>
              <w:t>县级（含）以上</w:t>
            </w:r>
            <w:r>
              <w:rPr>
                <w:rFonts w:hint="eastAsia" w:ascii="仿宋_GB2312" w:eastAsia="仿宋_GB2312"/>
                <w:color w:val="000000"/>
                <w:kern w:val="0"/>
                <w:sz w:val="22"/>
                <w:lang w:bidi="ar"/>
              </w:rPr>
              <w:t>各类评先树优、表彰奖励、加分保送等的拟推荐人员名单。</w:t>
            </w:r>
          </w:p>
        </w:tc>
        <w:tc>
          <w:tcPr>
            <w:tcW w:w="1694"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信息形成或者变更之日起20个工作日内</w:t>
            </w:r>
          </w:p>
        </w:tc>
        <w:tc>
          <w:tcPr>
            <w:tcW w:w="1125"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中等职业学校</w:t>
            </w:r>
          </w:p>
        </w:tc>
        <w:tc>
          <w:tcPr>
            <w:tcW w:w="3360"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szCs w:val="22"/>
                <w:lang w:bidi="ar"/>
              </w:rPr>
              <w:t>学学校、主管部门或本级人民政府的网站、新媒体均可</w:t>
            </w:r>
          </w:p>
        </w:tc>
        <w:tc>
          <w:tcPr>
            <w:tcW w:w="780"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w:t>
            </w:r>
          </w:p>
        </w:tc>
        <w:tc>
          <w:tcPr>
            <w:tcW w:w="1065" w:type="dxa"/>
            <w:tcMar>
              <w:top w:w="15" w:type="dxa"/>
              <w:left w:w="15" w:type="dxa"/>
              <w:right w:w="15" w:type="dxa"/>
            </w:tcMar>
            <w:vAlign w:val="center"/>
          </w:tcPr>
          <w:p>
            <w:pPr>
              <w:jc w:val="center"/>
              <w:rPr>
                <w:rFonts w:hint="eastAsia" w:ascii="仿宋_GB2312" w:eastAsia="仿宋_GB2312"/>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0" w:hRule="atLeast"/>
          <w:jc w:val="center"/>
        </w:trPr>
        <w:tc>
          <w:tcPr>
            <w:tcW w:w="510" w:type="dxa"/>
            <w:vMerge w:val="restart"/>
            <w:tcMar>
              <w:top w:w="15" w:type="dxa"/>
              <w:left w:w="15" w:type="dxa"/>
              <w:right w:w="15" w:type="dxa"/>
            </w:tcMar>
            <w:vAlign w:val="center"/>
          </w:tcPr>
          <w:p>
            <w:pPr>
              <w:widowControl/>
              <w:jc w:val="center"/>
              <w:textAlignment w:val="center"/>
              <w:rPr>
                <w:rFonts w:hint="eastAsia" w:ascii="仿宋_GB2312" w:eastAsia="仿宋_GB2312"/>
                <w:b/>
                <w:color w:val="000000"/>
                <w:sz w:val="22"/>
              </w:rPr>
            </w:pPr>
            <w:r>
              <w:rPr>
                <w:rFonts w:hint="eastAsia" w:ascii="仿宋_GB2312" w:eastAsia="仿宋_GB2312"/>
                <w:b/>
                <w:color w:val="000000"/>
                <w:kern w:val="0"/>
                <w:sz w:val="22"/>
                <w:lang w:bidi="ar"/>
              </w:rPr>
              <w:t>8</w:t>
            </w:r>
          </w:p>
        </w:tc>
        <w:tc>
          <w:tcPr>
            <w:tcW w:w="1026" w:type="dxa"/>
            <w:vMerge w:val="restart"/>
            <w:tcMar>
              <w:top w:w="15" w:type="dxa"/>
              <w:left w:w="15" w:type="dxa"/>
              <w:right w:w="15" w:type="dxa"/>
            </w:tcMar>
            <w:vAlign w:val="center"/>
          </w:tcPr>
          <w:p>
            <w:pPr>
              <w:widowControl/>
              <w:jc w:val="center"/>
              <w:textAlignment w:val="center"/>
              <w:rPr>
                <w:rFonts w:hint="eastAsia" w:ascii="仿宋_GB2312" w:eastAsia="仿宋_GB2312"/>
                <w:b/>
                <w:color w:val="000000"/>
                <w:sz w:val="22"/>
              </w:rPr>
            </w:pPr>
            <w:r>
              <w:rPr>
                <w:rFonts w:hint="eastAsia" w:ascii="仿宋_GB2312" w:eastAsia="仿宋_GB2312"/>
                <w:b/>
                <w:color w:val="000000"/>
                <w:kern w:val="0"/>
                <w:sz w:val="22"/>
                <w:lang w:bidi="ar"/>
              </w:rPr>
              <w:t>体育美育</w:t>
            </w:r>
          </w:p>
        </w:tc>
        <w:tc>
          <w:tcPr>
            <w:tcW w:w="1134"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体育评价</w:t>
            </w:r>
          </w:p>
        </w:tc>
        <w:tc>
          <w:tcPr>
            <w:tcW w:w="4111"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学校体育工作自评结果（体育课、体育训练、体育比赛、体育教师、体育场地、条件保障等）</w:t>
            </w:r>
            <w:r>
              <w:rPr>
                <w:rFonts w:hint="eastAsia" w:ascii="仿宋_GB2312" w:eastAsia="仿宋_GB2312"/>
                <w:color w:val="000000"/>
                <w:kern w:val="0"/>
                <w:sz w:val="22"/>
                <w:lang w:bidi="ar"/>
              </w:rPr>
              <w:br w:type="textWrapping"/>
            </w:r>
            <w:r>
              <w:rPr>
                <w:rFonts w:hint="eastAsia" w:ascii="仿宋_GB2312" w:eastAsia="仿宋_GB2312"/>
                <w:color w:val="000000"/>
                <w:kern w:val="0"/>
                <w:sz w:val="22"/>
                <w:lang w:bidi="ar"/>
              </w:rPr>
              <w:t>学校体育发展年度报告（重点反映体育教学改革、体育教师配备、体育经费投入和体育场地设施、学生体质健康测试等方面的情况）</w:t>
            </w:r>
          </w:p>
        </w:tc>
        <w:tc>
          <w:tcPr>
            <w:tcW w:w="1694"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信息形成或者变更之日起20个工作日内</w:t>
            </w:r>
          </w:p>
        </w:tc>
        <w:tc>
          <w:tcPr>
            <w:tcW w:w="1125"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中等职业学校</w:t>
            </w:r>
          </w:p>
        </w:tc>
        <w:tc>
          <w:tcPr>
            <w:tcW w:w="3360"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szCs w:val="22"/>
                <w:lang w:bidi="ar"/>
              </w:rPr>
              <w:t>学校、主管部门或本级人民政府的网站、新媒体均可</w:t>
            </w:r>
          </w:p>
        </w:tc>
        <w:tc>
          <w:tcPr>
            <w:tcW w:w="780"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w:t>
            </w:r>
          </w:p>
        </w:tc>
        <w:tc>
          <w:tcPr>
            <w:tcW w:w="1065" w:type="dxa"/>
            <w:tcMar>
              <w:top w:w="15" w:type="dxa"/>
              <w:left w:w="15" w:type="dxa"/>
              <w:right w:w="15" w:type="dxa"/>
            </w:tcMar>
            <w:vAlign w:val="center"/>
          </w:tcPr>
          <w:p>
            <w:pPr>
              <w:jc w:val="center"/>
              <w:rPr>
                <w:rFonts w:hint="eastAsia" w:ascii="仿宋_GB2312" w:eastAsia="仿宋_GB2312"/>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0" w:hRule="atLeast"/>
          <w:jc w:val="center"/>
        </w:trPr>
        <w:tc>
          <w:tcPr>
            <w:tcW w:w="510"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026"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134"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美育评价</w:t>
            </w:r>
          </w:p>
        </w:tc>
        <w:tc>
          <w:tcPr>
            <w:tcW w:w="4111"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学校艺术教育工作自评结果（艺术课程、艺术活动、艺术教师、条件保障、特色发展及学生艺术素质测评等）</w:t>
            </w:r>
            <w:r>
              <w:rPr>
                <w:rFonts w:hint="eastAsia" w:ascii="仿宋_GB2312" w:eastAsia="仿宋_GB2312"/>
                <w:color w:val="000000"/>
                <w:kern w:val="0"/>
                <w:sz w:val="22"/>
                <w:lang w:bidi="ar"/>
              </w:rPr>
              <w:br w:type="textWrapping"/>
            </w:r>
            <w:r>
              <w:rPr>
                <w:rFonts w:hint="eastAsia" w:ascii="仿宋_GB2312" w:eastAsia="仿宋_GB2312"/>
                <w:color w:val="000000"/>
                <w:kern w:val="0"/>
                <w:sz w:val="22"/>
                <w:lang w:bidi="ar"/>
              </w:rPr>
              <w:t>学校艺术教育发展年度报告（重点反映艺术课程建设、艺术教师配备、艺术教育管理、艺术教育经费投入和设施设备、课外艺术活动、校园文化艺术环境、重点项目推进以及中小学实施学校艺术教育工作自评制度等方面的情况）</w:t>
            </w:r>
          </w:p>
        </w:tc>
        <w:tc>
          <w:tcPr>
            <w:tcW w:w="1694"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信息形成或者变更之日起20个工作日内</w:t>
            </w:r>
          </w:p>
        </w:tc>
        <w:tc>
          <w:tcPr>
            <w:tcW w:w="1125"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中等职业学校</w:t>
            </w:r>
          </w:p>
        </w:tc>
        <w:tc>
          <w:tcPr>
            <w:tcW w:w="3360"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szCs w:val="22"/>
                <w:lang w:bidi="ar"/>
              </w:rPr>
              <w:t>学校、主管部门或本级人民政府的网站、新媒体均可</w:t>
            </w:r>
          </w:p>
        </w:tc>
        <w:tc>
          <w:tcPr>
            <w:tcW w:w="780"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w:t>
            </w:r>
          </w:p>
        </w:tc>
        <w:tc>
          <w:tcPr>
            <w:tcW w:w="1065" w:type="dxa"/>
            <w:tcMar>
              <w:top w:w="15" w:type="dxa"/>
              <w:left w:w="15" w:type="dxa"/>
              <w:right w:w="15" w:type="dxa"/>
            </w:tcMar>
            <w:vAlign w:val="center"/>
          </w:tcPr>
          <w:p>
            <w:pPr>
              <w:jc w:val="center"/>
              <w:rPr>
                <w:rFonts w:hint="eastAsia" w:ascii="仿宋_GB2312" w:eastAsia="仿宋_GB2312"/>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0" w:hRule="atLeast"/>
          <w:jc w:val="center"/>
        </w:trPr>
        <w:tc>
          <w:tcPr>
            <w:tcW w:w="510"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026"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134" w:type="dxa"/>
            <w:tcMar>
              <w:top w:w="15" w:type="dxa"/>
              <w:left w:w="15" w:type="dxa"/>
              <w:right w:w="15" w:type="dxa"/>
            </w:tcMar>
            <w:vAlign w:val="center"/>
          </w:tcPr>
          <w:p>
            <w:pPr>
              <w:widowControl/>
              <w:jc w:val="center"/>
              <w:textAlignment w:val="center"/>
              <w:rPr>
                <w:rFonts w:ascii="仿宋_GB2312" w:eastAsia="仿宋_GB2312"/>
                <w:color w:val="000000"/>
                <w:kern w:val="0"/>
                <w:sz w:val="22"/>
                <w:lang w:bidi="ar"/>
              </w:rPr>
            </w:pPr>
            <w:r>
              <w:rPr>
                <w:rFonts w:hint="eastAsia" w:ascii="仿宋_GB2312" w:eastAsia="仿宋_GB2312"/>
                <w:color w:val="000000"/>
                <w:kern w:val="0"/>
                <w:sz w:val="22"/>
                <w:lang w:bidi="ar"/>
              </w:rPr>
              <w:t>劳动教育</w:t>
            </w:r>
          </w:p>
        </w:tc>
        <w:tc>
          <w:tcPr>
            <w:tcW w:w="4111" w:type="dxa"/>
            <w:tcMar>
              <w:top w:w="15" w:type="dxa"/>
              <w:left w:w="15" w:type="dxa"/>
              <w:right w:w="15" w:type="dxa"/>
            </w:tcMar>
            <w:vAlign w:val="center"/>
          </w:tcPr>
          <w:p>
            <w:pPr>
              <w:widowControl/>
              <w:jc w:val="left"/>
              <w:textAlignment w:val="center"/>
              <w:rPr>
                <w:rFonts w:ascii="仿宋_GB2312" w:eastAsia="仿宋_GB2312"/>
                <w:color w:val="000000"/>
                <w:kern w:val="0"/>
                <w:sz w:val="22"/>
                <w:lang w:bidi="ar"/>
              </w:rPr>
            </w:pPr>
            <w:r>
              <w:rPr>
                <w:rFonts w:hint="eastAsia" w:ascii="仿宋_GB2312" w:eastAsia="仿宋_GB2312"/>
                <w:color w:val="000000"/>
                <w:kern w:val="0"/>
                <w:sz w:val="22"/>
                <w:lang w:bidi="ar"/>
              </w:rPr>
              <w:t>劳动教育开展情况等相关信息</w:t>
            </w:r>
          </w:p>
        </w:tc>
        <w:tc>
          <w:tcPr>
            <w:tcW w:w="1694" w:type="dxa"/>
            <w:tcMar>
              <w:top w:w="15" w:type="dxa"/>
              <w:left w:w="15" w:type="dxa"/>
              <w:right w:w="15" w:type="dxa"/>
            </w:tcMar>
            <w:vAlign w:val="center"/>
          </w:tcPr>
          <w:p>
            <w:pPr>
              <w:widowControl/>
              <w:jc w:val="left"/>
              <w:textAlignment w:val="center"/>
              <w:rPr>
                <w:rFonts w:hint="eastAsia" w:ascii="仿宋_GB2312" w:eastAsia="仿宋_GB2312"/>
                <w:color w:val="000000"/>
                <w:kern w:val="0"/>
                <w:sz w:val="22"/>
                <w:lang w:bidi="ar"/>
              </w:rPr>
            </w:pPr>
            <w:r>
              <w:rPr>
                <w:rFonts w:hint="eastAsia" w:ascii="仿宋_GB2312" w:eastAsia="仿宋_GB2312"/>
                <w:color w:val="000000"/>
                <w:kern w:val="0"/>
                <w:sz w:val="22"/>
                <w:lang w:bidi="ar"/>
              </w:rPr>
              <w:t>信息形成或者变更之日起20个工作日内</w:t>
            </w:r>
          </w:p>
        </w:tc>
        <w:tc>
          <w:tcPr>
            <w:tcW w:w="1125" w:type="dxa"/>
            <w:tcMar>
              <w:top w:w="15" w:type="dxa"/>
              <w:left w:w="15" w:type="dxa"/>
              <w:right w:w="15" w:type="dxa"/>
            </w:tcMar>
            <w:vAlign w:val="center"/>
          </w:tcPr>
          <w:p>
            <w:pPr>
              <w:widowControl/>
              <w:jc w:val="left"/>
              <w:textAlignment w:val="center"/>
              <w:rPr>
                <w:rFonts w:hint="eastAsia" w:ascii="仿宋_GB2312" w:eastAsia="仿宋_GB2312"/>
                <w:color w:val="000000"/>
                <w:kern w:val="0"/>
                <w:sz w:val="22"/>
                <w:lang w:bidi="ar"/>
              </w:rPr>
            </w:pPr>
            <w:r>
              <w:rPr>
                <w:rFonts w:hint="eastAsia" w:ascii="仿宋_GB2312" w:eastAsia="仿宋_GB2312"/>
                <w:color w:val="000000"/>
                <w:kern w:val="0"/>
                <w:sz w:val="22"/>
                <w:lang w:bidi="ar"/>
              </w:rPr>
              <w:t>中等职业学校</w:t>
            </w:r>
          </w:p>
        </w:tc>
        <w:tc>
          <w:tcPr>
            <w:tcW w:w="3360" w:type="dxa"/>
            <w:tcMar>
              <w:top w:w="15" w:type="dxa"/>
              <w:left w:w="15" w:type="dxa"/>
              <w:right w:w="15" w:type="dxa"/>
            </w:tcMar>
            <w:vAlign w:val="center"/>
          </w:tcPr>
          <w:p>
            <w:pPr>
              <w:widowControl/>
              <w:jc w:val="left"/>
              <w:textAlignment w:val="center"/>
              <w:rPr>
                <w:rFonts w:hint="eastAsia" w:ascii="仿宋_GB2312" w:eastAsia="仿宋_GB2312"/>
                <w:color w:val="000000"/>
                <w:kern w:val="0"/>
                <w:sz w:val="22"/>
                <w:szCs w:val="22"/>
                <w:lang w:bidi="ar"/>
              </w:rPr>
            </w:pPr>
            <w:r>
              <w:rPr>
                <w:rFonts w:hint="eastAsia" w:ascii="仿宋_GB2312" w:eastAsia="仿宋_GB2312"/>
                <w:color w:val="000000"/>
                <w:kern w:val="0"/>
                <w:sz w:val="22"/>
                <w:szCs w:val="22"/>
                <w:lang w:bidi="ar"/>
              </w:rPr>
              <w:t>学校、主管部门或本级人民政府的网站、新媒体均可</w:t>
            </w:r>
          </w:p>
        </w:tc>
        <w:tc>
          <w:tcPr>
            <w:tcW w:w="780" w:type="dxa"/>
            <w:tcMar>
              <w:top w:w="15" w:type="dxa"/>
              <w:left w:w="15" w:type="dxa"/>
              <w:right w:w="15" w:type="dxa"/>
            </w:tcMar>
            <w:vAlign w:val="center"/>
          </w:tcPr>
          <w:p>
            <w:pPr>
              <w:widowControl/>
              <w:jc w:val="center"/>
              <w:textAlignment w:val="center"/>
              <w:rPr>
                <w:rFonts w:hint="eastAsia" w:ascii="仿宋_GB2312" w:eastAsia="仿宋_GB2312"/>
                <w:color w:val="000000"/>
                <w:kern w:val="0"/>
                <w:sz w:val="22"/>
                <w:lang w:bidi="ar"/>
              </w:rPr>
            </w:pPr>
            <w:r>
              <w:rPr>
                <w:rFonts w:hint="eastAsia" w:ascii="仿宋_GB2312" w:eastAsia="仿宋_GB2312"/>
                <w:color w:val="000000"/>
                <w:kern w:val="0"/>
                <w:sz w:val="22"/>
                <w:lang w:bidi="ar"/>
              </w:rPr>
              <w:t>√</w:t>
            </w:r>
          </w:p>
        </w:tc>
        <w:tc>
          <w:tcPr>
            <w:tcW w:w="1065" w:type="dxa"/>
            <w:tcMar>
              <w:top w:w="15" w:type="dxa"/>
              <w:left w:w="15" w:type="dxa"/>
              <w:right w:w="15" w:type="dxa"/>
            </w:tcMar>
            <w:vAlign w:val="center"/>
          </w:tcPr>
          <w:p>
            <w:pPr>
              <w:jc w:val="center"/>
              <w:rPr>
                <w:rFonts w:hint="eastAsia" w:ascii="仿宋_GB2312" w:eastAsia="仿宋_GB2312"/>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0" w:hRule="atLeast"/>
          <w:jc w:val="center"/>
        </w:trPr>
        <w:tc>
          <w:tcPr>
            <w:tcW w:w="510" w:type="dxa"/>
            <w:vMerge w:val="restart"/>
            <w:tcMar>
              <w:top w:w="15" w:type="dxa"/>
              <w:left w:w="15" w:type="dxa"/>
              <w:right w:w="15" w:type="dxa"/>
            </w:tcMar>
            <w:vAlign w:val="center"/>
          </w:tcPr>
          <w:p>
            <w:pPr>
              <w:widowControl/>
              <w:jc w:val="center"/>
              <w:textAlignment w:val="center"/>
              <w:rPr>
                <w:rFonts w:hint="eastAsia" w:ascii="仿宋_GB2312" w:eastAsia="仿宋_GB2312"/>
                <w:b/>
                <w:color w:val="000000"/>
                <w:sz w:val="22"/>
              </w:rPr>
            </w:pPr>
            <w:r>
              <w:rPr>
                <w:rFonts w:hint="eastAsia" w:ascii="仿宋_GB2312" w:eastAsia="仿宋_GB2312"/>
                <w:b/>
                <w:color w:val="000000"/>
                <w:kern w:val="0"/>
                <w:sz w:val="22"/>
                <w:lang w:bidi="ar"/>
              </w:rPr>
              <w:t>9</w:t>
            </w:r>
          </w:p>
        </w:tc>
        <w:tc>
          <w:tcPr>
            <w:tcW w:w="1026" w:type="dxa"/>
            <w:vMerge w:val="restart"/>
            <w:tcMar>
              <w:top w:w="15" w:type="dxa"/>
              <w:left w:w="15" w:type="dxa"/>
              <w:right w:w="15" w:type="dxa"/>
            </w:tcMar>
            <w:vAlign w:val="center"/>
          </w:tcPr>
          <w:p>
            <w:pPr>
              <w:widowControl/>
              <w:jc w:val="left"/>
              <w:textAlignment w:val="center"/>
              <w:rPr>
                <w:rFonts w:hint="eastAsia" w:ascii="仿宋_GB2312" w:eastAsia="仿宋_GB2312"/>
                <w:b/>
                <w:color w:val="000000"/>
                <w:sz w:val="22"/>
              </w:rPr>
            </w:pPr>
            <w:r>
              <w:rPr>
                <w:rFonts w:hint="eastAsia" w:ascii="仿宋_GB2312" w:eastAsia="仿宋_GB2312"/>
                <w:b/>
                <w:color w:val="000000"/>
                <w:kern w:val="0"/>
                <w:sz w:val="22"/>
                <w:lang w:bidi="ar"/>
              </w:rPr>
              <w:t>校园安全</w:t>
            </w:r>
          </w:p>
        </w:tc>
        <w:tc>
          <w:tcPr>
            <w:tcW w:w="1134"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安全制度</w:t>
            </w:r>
          </w:p>
        </w:tc>
        <w:tc>
          <w:tcPr>
            <w:tcW w:w="4111"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学校各项安管管理制度，包括但不限于课堂教学安全管理、体育课安全管理、实验课（实践活动、实习实训）安全管理、食品安全管理、校车安全管理、校舍安全管理、消防安全管理、宿舍安全管理等</w:t>
            </w:r>
          </w:p>
        </w:tc>
        <w:tc>
          <w:tcPr>
            <w:tcW w:w="1694"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信息形成或者变更之日起20个工作日内</w:t>
            </w:r>
          </w:p>
        </w:tc>
        <w:tc>
          <w:tcPr>
            <w:tcW w:w="1125"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中等职业学校</w:t>
            </w:r>
          </w:p>
        </w:tc>
        <w:tc>
          <w:tcPr>
            <w:tcW w:w="3360"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szCs w:val="22"/>
                <w:lang w:bidi="ar"/>
              </w:rPr>
              <w:t>学校、主管部门或本级人民政府的网站、新媒体均可</w:t>
            </w:r>
          </w:p>
        </w:tc>
        <w:tc>
          <w:tcPr>
            <w:tcW w:w="780"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w:t>
            </w:r>
          </w:p>
        </w:tc>
        <w:tc>
          <w:tcPr>
            <w:tcW w:w="1065" w:type="dxa"/>
            <w:tcMar>
              <w:top w:w="15" w:type="dxa"/>
              <w:left w:w="15" w:type="dxa"/>
              <w:right w:w="15" w:type="dxa"/>
            </w:tcMar>
            <w:vAlign w:val="center"/>
          </w:tcPr>
          <w:p>
            <w:pPr>
              <w:jc w:val="center"/>
              <w:rPr>
                <w:rFonts w:hint="eastAsia" w:ascii="仿宋_GB2312" w:eastAsia="仿宋_GB2312"/>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0" w:hRule="atLeast"/>
          <w:jc w:val="center"/>
        </w:trPr>
        <w:tc>
          <w:tcPr>
            <w:tcW w:w="510" w:type="dxa"/>
            <w:vMerge w:val="continue"/>
            <w:tcMar>
              <w:top w:w="15" w:type="dxa"/>
              <w:left w:w="15" w:type="dxa"/>
              <w:right w:w="15" w:type="dxa"/>
            </w:tcMar>
            <w:vAlign w:val="center"/>
          </w:tcPr>
          <w:p>
            <w:pPr>
              <w:jc w:val="center"/>
              <w:rPr>
                <w:rFonts w:hint="eastAsia" w:ascii="仿宋_GB2312" w:eastAsia="仿宋_GB2312"/>
                <w:b/>
                <w:color w:val="000000"/>
                <w:sz w:val="22"/>
              </w:rPr>
            </w:pPr>
          </w:p>
        </w:tc>
        <w:tc>
          <w:tcPr>
            <w:tcW w:w="1026" w:type="dxa"/>
            <w:vMerge w:val="continue"/>
            <w:tcMar>
              <w:top w:w="15" w:type="dxa"/>
              <w:left w:w="15" w:type="dxa"/>
              <w:right w:w="15" w:type="dxa"/>
            </w:tcMar>
            <w:vAlign w:val="center"/>
          </w:tcPr>
          <w:p>
            <w:pPr>
              <w:rPr>
                <w:rFonts w:hint="eastAsia" w:ascii="仿宋_GB2312" w:eastAsia="仿宋_GB2312"/>
                <w:b/>
                <w:color w:val="000000"/>
                <w:sz w:val="22"/>
              </w:rPr>
            </w:pPr>
          </w:p>
        </w:tc>
        <w:tc>
          <w:tcPr>
            <w:tcW w:w="1134"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应急预案</w:t>
            </w:r>
          </w:p>
        </w:tc>
        <w:tc>
          <w:tcPr>
            <w:tcW w:w="4111"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学校各项突发事件应急预案,包括但不限于安全事件、自然灾害、卫生防疫等。</w:t>
            </w:r>
          </w:p>
        </w:tc>
        <w:tc>
          <w:tcPr>
            <w:tcW w:w="1694"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信息形成或者变更之日起20个工作日内</w:t>
            </w:r>
          </w:p>
        </w:tc>
        <w:tc>
          <w:tcPr>
            <w:tcW w:w="1125"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lang w:bidi="ar"/>
              </w:rPr>
              <w:t>中等职业学校</w:t>
            </w:r>
          </w:p>
        </w:tc>
        <w:tc>
          <w:tcPr>
            <w:tcW w:w="3360" w:type="dxa"/>
            <w:tcMar>
              <w:top w:w="15" w:type="dxa"/>
              <w:left w:w="15" w:type="dxa"/>
              <w:right w:w="15" w:type="dxa"/>
            </w:tcMar>
            <w:vAlign w:val="center"/>
          </w:tcPr>
          <w:p>
            <w:pPr>
              <w:widowControl/>
              <w:jc w:val="left"/>
              <w:textAlignment w:val="center"/>
              <w:rPr>
                <w:rFonts w:hint="eastAsia" w:ascii="仿宋_GB2312" w:eastAsia="仿宋_GB2312"/>
                <w:color w:val="000000"/>
                <w:sz w:val="22"/>
              </w:rPr>
            </w:pPr>
            <w:r>
              <w:rPr>
                <w:rFonts w:hint="eastAsia" w:ascii="仿宋_GB2312" w:eastAsia="仿宋_GB2312"/>
                <w:color w:val="000000"/>
                <w:kern w:val="0"/>
                <w:sz w:val="22"/>
                <w:szCs w:val="22"/>
                <w:lang w:bidi="ar"/>
              </w:rPr>
              <w:t>学校、主管部门或本级人民政府的网站、新媒体均可</w:t>
            </w:r>
          </w:p>
        </w:tc>
        <w:tc>
          <w:tcPr>
            <w:tcW w:w="780" w:type="dxa"/>
            <w:tcMar>
              <w:top w:w="15" w:type="dxa"/>
              <w:left w:w="15" w:type="dxa"/>
              <w:right w:w="15" w:type="dxa"/>
            </w:tcMar>
            <w:vAlign w:val="center"/>
          </w:tcPr>
          <w:p>
            <w:pPr>
              <w:widowControl/>
              <w:jc w:val="center"/>
              <w:textAlignment w:val="center"/>
              <w:rPr>
                <w:rFonts w:hint="eastAsia" w:ascii="仿宋_GB2312" w:eastAsia="仿宋_GB2312"/>
                <w:color w:val="000000"/>
                <w:sz w:val="22"/>
              </w:rPr>
            </w:pPr>
            <w:r>
              <w:rPr>
                <w:rFonts w:hint="eastAsia" w:ascii="仿宋_GB2312" w:eastAsia="仿宋_GB2312"/>
                <w:color w:val="000000"/>
                <w:kern w:val="0"/>
                <w:sz w:val="22"/>
                <w:lang w:bidi="ar"/>
              </w:rPr>
              <w:t>√</w:t>
            </w:r>
          </w:p>
        </w:tc>
        <w:tc>
          <w:tcPr>
            <w:tcW w:w="1065" w:type="dxa"/>
            <w:tcMar>
              <w:top w:w="15" w:type="dxa"/>
              <w:left w:w="15" w:type="dxa"/>
              <w:right w:w="15" w:type="dxa"/>
            </w:tcMar>
            <w:vAlign w:val="center"/>
          </w:tcPr>
          <w:p>
            <w:pPr>
              <w:rPr>
                <w:rFonts w:hint="eastAsia" w:ascii="仿宋_GB2312" w:eastAsia="仿宋_GB2312"/>
                <w:color w:val="00000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0" w:hRule="atLeast"/>
          <w:jc w:val="center"/>
        </w:trPr>
        <w:tc>
          <w:tcPr>
            <w:tcW w:w="510" w:type="dxa"/>
            <w:tcMar>
              <w:top w:w="15" w:type="dxa"/>
              <w:left w:w="15" w:type="dxa"/>
              <w:right w:w="15" w:type="dxa"/>
            </w:tcMar>
            <w:vAlign w:val="center"/>
          </w:tcPr>
          <w:p>
            <w:pPr>
              <w:jc w:val="center"/>
              <w:rPr>
                <w:rFonts w:ascii="仿宋_GB2312" w:eastAsia="仿宋_GB2312"/>
                <w:b/>
                <w:color w:val="000000"/>
                <w:sz w:val="22"/>
              </w:rPr>
            </w:pPr>
            <w:r>
              <w:rPr>
                <w:rFonts w:hint="eastAsia" w:ascii="仿宋_GB2312" w:eastAsia="仿宋_GB2312"/>
                <w:b/>
                <w:color w:val="000000"/>
                <w:sz w:val="22"/>
              </w:rPr>
              <w:t>10</w:t>
            </w:r>
          </w:p>
        </w:tc>
        <w:tc>
          <w:tcPr>
            <w:tcW w:w="1026" w:type="dxa"/>
            <w:tcMar>
              <w:top w:w="15" w:type="dxa"/>
              <w:left w:w="15" w:type="dxa"/>
              <w:right w:w="15" w:type="dxa"/>
            </w:tcMar>
            <w:vAlign w:val="center"/>
          </w:tcPr>
          <w:p>
            <w:pPr>
              <w:rPr>
                <w:rFonts w:ascii="仿宋_GB2312" w:eastAsia="仿宋_GB2312"/>
                <w:b/>
                <w:color w:val="000000"/>
                <w:sz w:val="22"/>
              </w:rPr>
            </w:pPr>
            <w:r>
              <w:rPr>
                <w:rFonts w:hint="eastAsia" w:ascii="仿宋_GB2312" w:eastAsia="仿宋_GB2312"/>
                <w:b/>
                <w:color w:val="000000"/>
                <w:sz w:val="22"/>
              </w:rPr>
              <w:t>信息公开咨询指南</w:t>
            </w:r>
          </w:p>
        </w:tc>
        <w:tc>
          <w:tcPr>
            <w:tcW w:w="1134" w:type="dxa"/>
            <w:tcMar>
              <w:top w:w="15" w:type="dxa"/>
              <w:left w:w="15" w:type="dxa"/>
              <w:right w:w="15" w:type="dxa"/>
            </w:tcMar>
            <w:vAlign w:val="center"/>
          </w:tcPr>
          <w:p>
            <w:pPr>
              <w:widowControl/>
              <w:jc w:val="center"/>
              <w:textAlignment w:val="center"/>
              <w:rPr>
                <w:rFonts w:ascii="仿宋_GB2312" w:eastAsia="仿宋_GB2312"/>
                <w:color w:val="000000"/>
                <w:kern w:val="0"/>
                <w:sz w:val="22"/>
                <w:lang w:bidi="ar"/>
              </w:rPr>
            </w:pPr>
            <w:r>
              <w:rPr>
                <w:rFonts w:hint="eastAsia" w:ascii="仿宋_GB2312" w:eastAsia="仿宋_GB2312"/>
                <w:color w:val="000000"/>
                <w:kern w:val="0"/>
                <w:sz w:val="22"/>
                <w:lang w:bidi="ar"/>
              </w:rPr>
              <w:t>信息公开咨询指南</w:t>
            </w:r>
          </w:p>
        </w:tc>
        <w:tc>
          <w:tcPr>
            <w:tcW w:w="4111" w:type="dxa"/>
            <w:tcMar>
              <w:top w:w="15" w:type="dxa"/>
              <w:left w:w="15" w:type="dxa"/>
              <w:right w:w="15" w:type="dxa"/>
            </w:tcMar>
            <w:vAlign w:val="center"/>
          </w:tcPr>
          <w:p>
            <w:pPr>
              <w:widowControl/>
              <w:jc w:val="left"/>
              <w:textAlignment w:val="center"/>
              <w:rPr>
                <w:rFonts w:hint="eastAsia" w:ascii="仿宋_GB2312" w:eastAsia="仿宋_GB2312"/>
                <w:color w:val="000000"/>
                <w:kern w:val="0"/>
                <w:sz w:val="22"/>
                <w:lang w:bidi="ar"/>
              </w:rPr>
            </w:pPr>
            <w:r>
              <w:rPr>
                <w:rFonts w:hint="eastAsia" w:ascii="仿宋_GB2312" w:eastAsia="仿宋_GB2312"/>
                <w:color w:val="000000"/>
                <w:kern w:val="0"/>
                <w:sz w:val="22"/>
                <w:lang w:bidi="ar"/>
              </w:rPr>
              <w:t>学校接受信息公开咨询的电话号码、接受咨询的时间，接受书面咨询的通信地址、邮政编码等信息。</w:t>
            </w:r>
          </w:p>
        </w:tc>
        <w:tc>
          <w:tcPr>
            <w:tcW w:w="1694" w:type="dxa"/>
            <w:tcMar>
              <w:top w:w="15" w:type="dxa"/>
              <w:left w:w="15" w:type="dxa"/>
              <w:right w:w="15" w:type="dxa"/>
            </w:tcMar>
            <w:vAlign w:val="center"/>
          </w:tcPr>
          <w:p>
            <w:pPr>
              <w:widowControl/>
              <w:jc w:val="left"/>
              <w:textAlignment w:val="center"/>
              <w:rPr>
                <w:rFonts w:hint="eastAsia" w:ascii="仿宋_GB2312" w:eastAsia="仿宋_GB2312"/>
                <w:color w:val="000000"/>
                <w:kern w:val="0"/>
                <w:sz w:val="22"/>
                <w:lang w:bidi="ar"/>
              </w:rPr>
            </w:pPr>
            <w:r>
              <w:rPr>
                <w:rFonts w:hint="eastAsia" w:ascii="仿宋_GB2312" w:eastAsia="仿宋_GB2312"/>
                <w:color w:val="000000"/>
                <w:kern w:val="0"/>
                <w:sz w:val="22"/>
                <w:lang w:bidi="ar"/>
              </w:rPr>
              <w:t>信息形成或者变更之日起20个工作日内</w:t>
            </w:r>
          </w:p>
        </w:tc>
        <w:tc>
          <w:tcPr>
            <w:tcW w:w="1125" w:type="dxa"/>
            <w:tcMar>
              <w:top w:w="15" w:type="dxa"/>
              <w:left w:w="15" w:type="dxa"/>
              <w:right w:w="15" w:type="dxa"/>
            </w:tcMar>
            <w:vAlign w:val="center"/>
          </w:tcPr>
          <w:p>
            <w:pPr>
              <w:widowControl/>
              <w:jc w:val="left"/>
              <w:textAlignment w:val="center"/>
              <w:rPr>
                <w:rFonts w:hint="eastAsia" w:ascii="仿宋_GB2312" w:eastAsia="仿宋_GB2312"/>
                <w:color w:val="000000"/>
                <w:kern w:val="0"/>
                <w:sz w:val="22"/>
                <w:lang w:bidi="ar"/>
              </w:rPr>
            </w:pPr>
            <w:r>
              <w:rPr>
                <w:rFonts w:hint="eastAsia" w:ascii="仿宋_GB2312" w:eastAsia="仿宋_GB2312"/>
                <w:color w:val="000000"/>
                <w:kern w:val="0"/>
                <w:sz w:val="22"/>
                <w:lang w:bidi="ar"/>
              </w:rPr>
              <w:t>中等职业学校</w:t>
            </w:r>
          </w:p>
        </w:tc>
        <w:tc>
          <w:tcPr>
            <w:tcW w:w="3360" w:type="dxa"/>
            <w:tcMar>
              <w:top w:w="15" w:type="dxa"/>
              <w:left w:w="15" w:type="dxa"/>
              <w:right w:w="15" w:type="dxa"/>
            </w:tcMar>
            <w:vAlign w:val="center"/>
          </w:tcPr>
          <w:p>
            <w:pPr>
              <w:widowControl/>
              <w:jc w:val="left"/>
              <w:textAlignment w:val="center"/>
              <w:rPr>
                <w:rFonts w:hint="eastAsia" w:ascii="仿宋_GB2312" w:eastAsia="仿宋_GB2312"/>
                <w:color w:val="000000"/>
                <w:kern w:val="0"/>
                <w:sz w:val="22"/>
                <w:szCs w:val="22"/>
                <w:lang w:bidi="ar"/>
              </w:rPr>
            </w:pPr>
            <w:r>
              <w:rPr>
                <w:rFonts w:hint="eastAsia" w:ascii="仿宋_GB2312" w:eastAsia="仿宋_GB2312"/>
                <w:color w:val="000000"/>
                <w:kern w:val="0"/>
                <w:sz w:val="22"/>
                <w:szCs w:val="22"/>
                <w:lang w:bidi="ar"/>
              </w:rPr>
              <w:t>学校、主管部门或本级人民政府的网站、新媒体均可</w:t>
            </w:r>
          </w:p>
        </w:tc>
        <w:tc>
          <w:tcPr>
            <w:tcW w:w="780" w:type="dxa"/>
            <w:tcMar>
              <w:top w:w="15" w:type="dxa"/>
              <w:left w:w="15" w:type="dxa"/>
              <w:right w:w="15" w:type="dxa"/>
            </w:tcMar>
            <w:vAlign w:val="center"/>
          </w:tcPr>
          <w:p>
            <w:pPr>
              <w:widowControl/>
              <w:jc w:val="center"/>
              <w:textAlignment w:val="center"/>
              <w:rPr>
                <w:rFonts w:hint="eastAsia" w:ascii="仿宋_GB2312" w:eastAsia="仿宋_GB2312"/>
                <w:color w:val="000000"/>
                <w:kern w:val="0"/>
                <w:sz w:val="22"/>
                <w:lang w:bidi="ar"/>
              </w:rPr>
            </w:pPr>
            <w:r>
              <w:rPr>
                <w:rFonts w:hint="eastAsia" w:ascii="仿宋_GB2312" w:eastAsia="仿宋_GB2312"/>
                <w:color w:val="000000"/>
                <w:kern w:val="0"/>
                <w:sz w:val="22"/>
                <w:lang w:bidi="ar"/>
              </w:rPr>
              <w:t>√</w:t>
            </w:r>
          </w:p>
        </w:tc>
        <w:tc>
          <w:tcPr>
            <w:tcW w:w="1065" w:type="dxa"/>
            <w:tcMar>
              <w:top w:w="15" w:type="dxa"/>
              <w:left w:w="15" w:type="dxa"/>
              <w:right w:w="15" w:type="dxa"/>
            </w:tcMar>
            <w:vAlign w:val="center"/>
          </w:tcPr>
          <w:p>
            <w:pPr>
              <w:rPr>
                <w:rFonts w:hint="eastAsia" w:ascii="仿宋_GB2312" w:eastAsia="仿宋_GB2312"/>
                <w:color w:val="000000"/>
                <w:sz w:val="22"/>
              </w:rPr>
            </w:pPr>
          </w:p>
        </w:tc>
      </w:tr>
    </w:tbl>
    <w:p>
      <w:pPr>
        <w:rPr>
          <w:rStyle w:val="6"/>
          <w:rFonts w:ascii="仿宋_GB2312" w:hAnsi="仿宋_GB2312" w:eastAsia="仿宋_GB2312" w:cs="仿宋_GB2312"/>
          <w:sz w:val="32"/>
          <w:szCs w:val="32"/>
          <w:shd w:val="clear" w:color="auto" w:fill="FFFFFF"/>
        </w:rPr>
      </w:pPr>
    </w:p>
    <w:p>
      <w:pPr>
        <w:spacing w:line="560" w:lineRule="exact"/>
        <w:rPr>
          <w:rFonts w:hint="eastAsia" w:ascii="仿宋_GB2312" w:eastAsia="仿宋_GB2312"/>
          <w:sz w:val="32"/>
          <w:szCs w:val="32"/>
        </w:rPr>
      </w:pPr>
    </w:p>
    <w:p/>
    <w:sectPr>
      <w:footerReference r:id="rId3" w:type="default"/>
      <w:pgSz w:w="16838" w:h="11906" w:orient="landscape"/>
      <w:pgMar w:top="1531" w:right="2041" w:bottom="1531" w:left="1985" w:header="851" w:footer="1644" w:gutter="0"/>
      <w:cols w:space="72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67F"/>
    <w:rsid w:val="004E0BC6"/>
    <w:rsid w:val="005C467F"/>
    <w:rsid w:val="00E628D1"/>
    <w:rsid w:val="00EE1C97"/>
    <w:rsid w:val="5A7B25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Emphasis"/>
    <w:qFormat/>
    <w:uiPriority w:val="0"/>
    <w:rPr>
      <w:i/>
    </w:rPr>
  </w:style>
  <w:style w:type="character" w:customStyle="1" w:styleId="7">
    <w:name w:val="页眉 字符"/>
    <w:basedOn w:val="5"/>
    <w:link w:val="3"/>
    <w:uiPriority w:val="99"/>
    <w:rPr>
      <w:sz w:val="18"/>
      <w:szCs w:val="18"/>
    </w:rPr>
  </w:style>
  <w:style w:type="character" w:customStyle="1" w:styleId="8">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6</Pages>
  <Words>411</Words>
  <Characters>2344</Characters>
  <Lines>19</Lines>
  <Paragraphs>5</Paragraphs>
  <TotalTime>0</TotalTime>
  <ScaleCrop>false</ScaleCrop>
  <LinksUpToDate>false</LinksUpToDate>
  <CharactersWithSpaces>2750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2022-01-05T00:50:00Z</dcterms:created>
  <dc:creator>政府版用户</dc:creator>
  <cp:lastModifiedBy>GFT</cp:lastModifiedBy>
  <dcterms:modified xsi:type="dcterms:W3CDTF">2024-03-01T10:44:30Z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DF008206EC9242DC92AF6D33196827FF_13</vt:lpwstr>
  </property>
</Properties>
</file>